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charts/chart11.xml" ContentType="application/vnd.openxmlformats-officedocument.drawingml.chart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drawings/drawing10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F6" w:rsidRDefault="002370F6" w:rsidP="002370F6">
      <w:pPr>
        <w:keepNext/>
        <w:jc w:val="center"/>
        <w:rPr>
          <w:b/>
          <w:u w:val="single"/>
        </w:rPr>
      </w:pPr>
    </w:p>
    <w:p w:rsidR="00713674" w:rsidRDefault="00713674" w:rsidP="002370F6">
      <w:pPr>
        <w:keepNext/>
        <w:jc w:val="center"/>
        <w:rPr>
          <w:b/>
          <w:u w:val="single"/>
        </w:rPr>
      </w:pPr>
      <w:r w:rsidRPr="00983266">
        <w:rPr>
          <w:b/>
          <w:u w:val="single"/>
        </w:rPr>
        <w:t>MONITORAGGIO INQUINAMENTO DELL’</w:t>
      </w:r>
      <w:r w:rsidR="00983266" w:rsidRPr="00983266">
        <w:rPr>
          <w:b/>
          <w:u w:val="single"/>
        </w:rPr>
        <w:t xml:space="preserve">ARIA RELATIVO </w:t>
      </w:r>
      <w:r w:rsidR="00E025D7">
        <w:rPr>
          <w:b/>
          <w:u w:val="single"/>
        </w:rPr>
        <w:t>A</w:t>
      </w:r>
      <w:r w:rsidR="007C33AF">
        <w:rPr>
          <w:b/>
          <w:u w:val="single"/>
        </w:rPr>
        <w:t xml:space="preserve"> LUGLIO</w:t>
      </w:r>
      <w:r w:rsidR="007A6C87">
        <w:rPr>
          <w:b/>
          <w:u w:val="single"/>
        </w:rPr>
        <w:t xml:space="preserve"> </w:t>
      </w:r>
      <w:r w:rsidRPr="00983266">
        <w:rPr>
          <w:b/>
          <w:u w:val="single"/>
        </w:rPr>
        <w:t>2012</w:t>
      </w:r>
    </w:p>
    <w:p w:rsidR="00830EC6" w:rsidRPr="002370F6" w:rsidRDefault="00830EC6" w:rsidP="002047D6">
      <w:pPr>
        <w:keepNext/>
        <w:rPr>
          <w:b/>
          <w:u w:val="single"/>
        </w:rPr>
      </w:pPr>
    </w:p>
    <w:p w:rsidR="00830EC6" w:rsidRDefault="00C51DBA" w:rsidP="00830EC6">
      <w:pPr>
        <w:pStyle w:val="Didascalia"/>
        <w:keepNext/>
      </w:pPr>
      <w:r w:rsidRPr="00004973">
        <w:rPr>
          <w:noProof/>
          <w:color w:val="000000" w:themeColor="text1"/>
        </w:rPr>
        <w:drawing>
          <wp:inline distT="0" distB="0" distL="0" distR="0" wp14:anchorId="01FEF786" wp14:editId="2D6A7C1D">
            <wp:extent cx="6696075" cy="2352675"/>
            <wp:effectExtent l="0" t="0" r="9525" b="9525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7424" w:rsidRPr="00B17424" w:rsidRDefault="00B17424" w:rsidP="00B17424"/>
    <w:p w:rsidR="00F07EF2" w:rsidRDefault="00F07EF2" w:rsidP="00F07EF2">
      <w:r w:rsidRPr="00F07EF2">
        <w:rPr>
          <w:noProof/>
        </w:rPr>
        <w:drawing>
          <wp:inline distT="0" distB="0" distL="0" distR="0">
            <wp:extent cx="6696075" cy="2400300"/>
            <wp:effectExtent l="0" t="0" r="9525" b="19050"/>
            <wp:docPr id="5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7EF2" w:rsidRPr="00F07EF2" w:rsidRDefault="0014486E" w:rsidP="00F07EF2">
      <w:r>
        <w:tab/>
      </w:r>
      <w:r>
        <w:tab/>
      </w:r>
      <w:r w:rsidR="00E94BDB">
        <w:t xml:space="preserve"> </w:t>
      </w:r>
      <w:r w:rsidR="009A6A23" w:rsidRPr="00004973">
        <w:rPr>
          <w:b/>
          <w:noProof/>
        </w:rPr>
        <w:drawing>
          <wp:inline distT="0" distB="0" distL="0" distR="0" wp14:anchorId="04B58B6C" wp14:editId="43B25F2A">
            <wp:extent cx="6724650" cy="25527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7EF2" w:rsidRDefault="00F07EF2" w:rsidP="00F07EF2"/>
    <w:p w:rsidR="00695CD6" w:rsidRDefault="00695CD6" w:rsidP="00F07EF2"/>
    <w:p w:rsidR="00695CD6" w:rsidRDefault="00713674" w:rsidP="00F07EF2">
      <w:r>
        <w:rPr>
          <w:b/>
        </w:rPr>
        <w:lastRenderedPageBreak/>
        <w:t xml:space="preserve">        </w:t>
      </w:r>
      <w:r w:rsidR="00907556">
        <w:rPr>
          <w:b/>
        </w:rPr>
        <w:t xml:space="preserve">       </w:t>
      </w:r>
      <w:r>
        <w:rPr>
          <w:b/>
        </w:rPr>
        <w:t xml:space="preserve">  </w:t>
      </w:r>
      <w:r w:rsidR="00907556">
        <w:rPr>
          <w:b/>
        </w:rPr>
        <w:t xml:space="preserve"> </w:t>
      </w:r>
      <w:r w:rsidR="00907556" w:rsidRPr="00612A6E">
        <w:rPr>
          <w:b/>
          <w:noProof/>
          <w:sz w:val="16"/>
          <w:szCs w:val="16"/>
        </w:rPr>
        <w:drawing>
          <wp:inline distT="0" distB="0" distL="0" distR="0" wp14:anchorId="359B12BE" wp14:editId="192AC7E3">
            <wp:extent cx="6645910" cy="2533576"/>
            <wp:effectExtent l="0" t="0" r="21590" b="19685"/>
            <wp:docPr id="4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7556" w:rsidRDefault="00907556" w:rsidP="00F07EF2"/>
    <w:p w:rsidR="00907556" w:rsidRDefault="00907556" w:rsidP="00F07EF2">
      <w:r>
        <w:rPr>
          <w:b/>
        </w:rPr>
        <w:t xml:space="preserve">              </w:t>
      </w:r>
      <w:r w:rsidRPr="00907556">
        <w:rPr>
          <w:b/>
        </w:rPr>
        <w:t xml:space="preserve">      </w:t>
      </w:r>
      <w:r w:rsidRPr="00907556">
        <w:rPr>
          <w:noProof/>
        </w:rPr>
        <w:drawing>
          <wp:inline distT="0" distB="0" distL="0" distR="0">
            <wp:extent cx="6645910" cy="2533576"/>
            <wp:effectExtent l="0" t="0" r="21590" b="19685"/>
            <wp:docPr id="6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3674" w:rsidRDefault="00713674" w:rsidP="00F07EF2"/>
    <w:p w:rsidR="00C90B14" w:rsidRDefault="00C90B14" w:rsidP="00F07EF2"/>
    <w:p w:rsidR="00713674" w:rsidRDefault="00713674" w:rsidP="00F07EF2">
      <w:r w:rsidRPr="002846FA">
        <w:rPr>
          <w:b/>
          <w:noProof/>
          <w:sz w:val="16"/>
          <w:szCs w:val="16"/>
        </w:rPr>
        <w:drawing>
          <wp:inline distT="0" distB="0" distL="0" distR="0" wp14:anchorId="5817DCF5" wp14:editId="26848B4E">
            <wp:extent cx="6645910" cy="2305050"/>
            <wp:effectExtent l="0" t="0" r="21590" b="19050"/>
            <wp:docPr id="7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18B9" w:rsidRDefault="004818B9" w:rsidP="004818B9">
      <w:pPr>
        <w:jc w:val="right"/>
        <w:rPr>
          <w:sz w:val="16"/>
          <w:szCs w:val="16"/>
        </w:rPr>
      </w:pPr>
    </w:p>
    <w:p w:rsidR="00F43F25" w:rsidRPr="004818B9" w:rsidRDefault="004818B9" w:rsidP="004818B9">
      <w:pPr>
        <w:jc w:val="right"/>
        <w:rPr>
          <w:sz w:val="16"/>
          <w:szCs w:val="16"/>
        </w:rPr>
      </w:pPr>
      <w:r w:rsidRPr="00D833B5">
        <w:rPr>
          <w:sz w:val="16"/>
          <w:szCs w:val="16"/>
        </w:rPr>
        <w:t>Fonte: http://www.arpa.puglia.it/web/guest/qariainq</w:t>
      </w:r>
      <w:bookmarkStart w:id="0" w:name="_GoBack"/>
      <w:bookmarkEnd w:id="0"/>
    </w:p>
    <w:p w:rsidR="00F43F25" w:rsidRDefault="00F43F25" w:rsidP="008001EF">
      <w:pPr>
        <w:jc w:val="center"/>
        <w:rPr>
          <w:b/>
          <w:u w:val="single"/>
        </w:rPr>
      </w:pPr>
    </w:p>
    <w:p w:rsidR="008001EF" w:rsidRDefault="008001EF" w:rsidP="008001EF">
      <w:pPr>
        <w:jc w:val="center"/>
        <w:rPr>
          <w:b/>
          <w:u w:val="single"/>
        </w:rPr>
      </w:pPr>
      <w:r w:rsidRPr="00983266">
        <w:rPr>
          <w:b/>
          <w:u w:val="single"/>
        </w:rPr>
        <w:t>MONITORAGGIO DELL’INQUINAMENTO DELL’ARIA RELATIVO A</w:t>
      </w:r>
      <w:r w:rsidR="007C33AF">
        <w:rPr>
          <w:b/>
          <w:u w:val="single"/>
        </w:rPr>
        <w:t xml:space="preserve"> AGOSTO</w:t>
      </w:r>
      <w:r w:rsidRPr="00983266">
        <w:rPr>
          <w:b/>
          <w:u w:val="single"/>
        </w:rPr>
        <w:t xml:space="preserve"> 2012</w:t>
      </w:r>
    </w:p>
    <w:p w:rsidR="00393745" w:rsidRPr="00983266" w:rsidRDefault="00393745" w:rsidP="008001EF">
      <w:pPr>
        <w:jc w:val="center"/>
        <w:rPr>
          <w:b/>
          <w:u w:val="single"/>
        </w:rPr>
      </w:pPr>
    </w:p>
    <w:p w:rsidR="00983266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8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3266" w:rsidRDefault="00983266" w:rsidP="00983266">
      <w:pPr>
        <w:rPr>
          <w:b/>
        </w:rPr>
      </w:pPr>
    </w:p>
    <w:p w:rsidR="00983266" w:rsidRDefault="00983266" w:rsidP="00983266">
      <w:pPr>
        <w:rPr>
          <w:b/>
        </w:rPr>
      </w:pPr>
      <w:r>
        <w:rPr>
          <w:b/>
        </w:rPr>
        <w:t xml:space="preserve">                  </w:t>
      </w:r>
    </w:p>
    <w:p w:rsidR="00983266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33B5" w:rsidRDefault="00983266" w:rsidP="00983266">
      <w:pPr>
        <w:rPr>
          <w:b/>
        </w:rPr>
      </w:pPr>
      <w:r>
        <w:rPr>
          <w:b/>
        </w:rPr>
        <w:t xml:space="preserve">                    </w:t>
      </w:r>
    </w:p>
    <w:p w:rsidR="00983266" w:rsidRDefault="00D833B5" w:rsidP="00983266">
      <w:pPr>
        <w:rPr>
          <w:b/>
        </w:rPr>
      </w:pPr>
      <w:r>
        <w:rPr>
          <w:b/>
        </w:rPr>
        <w:t xml:space="preserve">                    </w:t>
      </w:r>
      <w:r w:rsidR="00983266">
        <w:rPr>
          <w:b/>
        </w:rPr>
        <w:t xml:space="preserve">  </w:t>
      </w:r>
    </w:p>
    <w:p w:rsidR="00D833B5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0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  <w:r>
        <w:rPr>
          <w:b/>
        </w:rPr>
        <w:lastRenderedPageBreak/>
        <w:t xml:space="preserve">                    </w:t>
      </w:r>
    </w:p>
    <w:p w:rsidR="007E03CF" w:rsidRDefault="007E03CF" w:rsidP="00983266">
      <w:pPr>
        <w:rPr>
          <w:b/>
        </w:rPr>
      </w:pPr>
      <w:r w:rsidRPr="007E03CF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</w:p>
    <w:p w:rsidR="007E03CF" w:rsidRDefault="007E03CF" w:rsidP="00983266">
      <w:pPr>
        <w:rPr>
          <w:b/>
        </w:rPr>
      </w:pPr>
      <w:r>
        <w:rPr>
          <w:b/>
        </w:rPr>
        <w:t xml:space="preserve">                </w:t>
      </w:r>
    </w:p>
    <w:p w:rsidR="007E03CF" w:rsidRDefault="009C341F" w:rsidP="00983266">
      <w:pPr>
        <w:rPr>
          <w:b/>
        </w:rPr>
      </w:pPr>
      <w:r w:rsidRPr="00907556">
        <w:rPr>
          <w:noProof/>
        </w:rPr>
        <w:drawing>
          <wp:inline distT="0" distB="0" distL="0" distR="0" wp14:anchorId="4D8D5F23" wp14:editId="4387A179">
            <wp:extent cx="6645910" cy="2533015"/>
            <wp:effectExtent l="0" t="0" r="21590" b="19685"/>
            <wp:docPr id="3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C341F" w:rsidRDefault="009C341F" w:rsidP="00983266">
      <w:pPr>
        <w:rPr>
          <w:b/>
        </w:rPr>
      </w:pPr>
    </w:p>
    <w:p w:rsidR="009C341F" w:rsidRDefault="009C341F" w:rsidP="00983266">
      <w:pPr>
        <w:rPr>
          <w:b/>
        </w:rPr>
      </w:pPr>
      <w:r w:rsidRPr="002846FA">
        <w:rPr>
          <w:b/>
          <w:noProof/>
          <w:sz w:val="16"/>
          <w:szCs w:val="16"/>
        </w:rPr>
        <w:drawing>
          <wp:inline distT="0" distB="0" distL="0" distR="0" wp14:anchorId="41151E6F" wp14:editId="623D5AE5">
            <wp:extent cx="6645910" cy="2305050"/>
            <wp:effectExtent l="0" t="0" r="21590" b="19050"/>
            <wp:docPr id="14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</w:p>
    <w:p w:rsidR="00F05518" w:rsidRDefault="007E03CF" w:rsidP="00983266">
      <w:pPr>
        <w:rPr>
          <w:b/>
        </w:rPr>
      </w:pPr>
      <w:r>
        <w:rPr>
          <w:b/>
        </w:rPr>
        <w:t xml:space="preserve">                          </w:t>
      </w:r>
    </w:p>
    <w:p w:rsidR="007E03CF" w:rsidRPr="00D833B5" w:rsidRDefault="007E03CF" w:rsidP="00D833B5">
      <w:pPr>
        <w:jc w:val="right"/>
        <w:rPr>
          <w:sz w:val="16"/>
          <w:szCs w:val="16"/>
        </w:rPr>
      </w:pPr>
      <w:r w:rsidRPr="00D833B5">
        <w:rPr>
          <w:sz w:val="16"/>
          <w:szCs w:val="16"/>
        </w:rPr>
        <w:t>Fonte:</w:t>
      </w:r>
      <w:r w:rsidR="00D833B5" w:rsidRPr="00D833B5">
        <w:rPr>
          <w:sz w:val="16"/>
          <w:szCs w:val="16"/>
        </w:rPr>
        <w:t xml:space="preserve"> http://www.arpa.puglia.it/web/guest/qariainq</w:t>
      </w:r>
    </w:p>
    <w:sectPr w:rsidR="007E03CF" w:rsidRPr="00D833B5" w:rsidSect="00144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CF" w:rsidRDefault="00D868CF" w:rsidP="00C51DBA">
      <w:pPr>
        <w:spacing w:after="0" w:line="240" w:lineRule="auto"/>
      </w:pPr>
      <w:r>
        <w:separator/>
      </w:r>
    </w:p>
  </w:endnote>
  <w:endnote w:type="continuationSeparator" w:id="0">
    <w:p w:rsidR="00D868CF" w:rsidRDefault="00D868CF" w:rsidP="00C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CF" w:rsidRDefault="00D868CF" w:rsidP="00C51DBA">
      <w:pPr>
        <w:spacing w:after="0" w:line="240" w:lineRule="auto"/>
      </w:pPr>
      <w:r>
        <w:separator/>
      </w:r>
    </w:p>
  </w:footnote>
  <w:footnote w:type="continuationSeparator" w:id="0">
    <w:p w:rsidR="00D868CF" w:rsidRDefault="00D868CF" w:rsidP="00C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A9"/>
    <w:rsid w:val="00004973"/>
    <w:rsid w:val="00004E72"/>
    <w:rsid w:val="00016ABB"/>
    <w:rsid w:val="0002053F"/>
    <w:rsid w:val="000855AB"/>
    <w:rsid w:val="000A7F2D"/>
    <w:rsid w:val="000C24DA"/>
    <w:rsid w:val="000E630D"/>
    <w:rsid w:val="00103911"/>
    <w:rsid w:val="0014486E"/>
    <w:rsid w:val="00160328"/>
    <w:rsid w:val="002039AA"/>
    <w:rsid w:val="002047D6"/>
    <w:rsid w:val="00215CFE"/>
    <w:rsid w:val="002370F6"/>
    <w:rsid w:val="00241A49"/>
    <w:rsid w:val="0027175E"/>
    <w:rsid w:val="00272323"/>
    <w:rsid w:val="002846FA"/>
    <w:rsid w:val="002A0E08"/>
    <w:rsid w:val="002A2CB8"/>
    <w:rsid w:val="002B455F"/>
    <w:rsid w:val="002C37F9"/>
    <w:rsid w:val="0031233C"/>
    <w:rsid w:val="00327979"/>
    <w:rsid w:val="003313C4"/>
    <w:rsid w:val="00371905"/>
    <w:rsid w:val="00393745"/>
    <w:rsid w:val="003A608E"/>
    <w:rsid w:val="003E07C2"/>
    <w:rsid w:val="003F70DE"/>
    <w:rsid w:val="00425DC2"/>
    <w:rsid w:val="00455B46"/>
    <w:rsid w:val="004818B9"/>
    <w:rsid w:val="00487066"/>
    <w:rsid w:val="004918DE"/>
    <w:rsid w:val="00492CA3"/>
    <w:rsid w:val="004C0281"/>
    <w:rsid w:val="005A26A7"/>
    <w:rsid w:val="005B237C"/>
    <w:rsid w:val="00612A6E"/>
    <w:rsid w:val="006161DE"/>
    <w:rsid w:val="00643BF4"/>
    <w:rsid w:val="00695CD6"/>
    <w:rsid w:val="006965B9"/>
    <w:rsid w:val="006A06A9"/>
    <w:rsid w:val="006F3B58"/>
    <w:rsid w:val="00713674"/>
    <w:rsid w:val="00773D62"/>
    <w:rsid w:val="007771DD"/>
    <w:rsid w:val="00796898"/>
    <w:rsid w:val="007A6C87"/>
    <w:rsid w:val="007B3DA2"/>
    <w:rsid w:val="007C33AF"/>
    <w:rsid w:val="007D09F2"/>
    <w:rsid w:val="007E03CF"/>
    <w:rsid w:val="008001EF"/>
    <w:rsid w:val="00830EC6"/>
    <w:rsid w:val="00831396"/>
    <w:rsid w:val="00834623"/>
    <w:rsid w:val="00857FC0"/>
    <w:rsid w:val="00893436"/>
    <w:rsid w:val="008C4C1A"/>
    <w:rsid w:val="00907556"/>
    <w:rsid w:val="00914B52"/>
    <w:rsid w:val="0094341C"/>
    <w:rsid w:val="00957307"/>
    <w:rsid w:val="00972ECB"/>
    <w:rsid w:val="00983266"/>
    <w:rsid w:val="009A6A23"/>
    <w:rsid w:val="009C341F"/>
    <w:rsid w:val="009C7049"/>
    <w:rsid w:val="009D3FBC"/>
    <w:rsid w:val="00A13F8A"/>
    <w:rsid w:val="00A1509E"/>
    <w:rsid w:val="00A233D2"/>
    <w:rsid w:val="00A43A94"/>
    <w:rsid w:val="00A645EF"/>
    <w:rsid w:val="00AD4168"/>
    <w:rsid w:val="00AF52E8"/>
    <w:rsid w:val="00B05213"/>
    <w:rsid w:val="00B17424"/>
    <w:rsid w:val="00B25AD0"/>
    <w:rsid w:val="00B679B0"/>
    <w:rsid w:val="00B75BB8"/>
    <w:rsid w:val="00BB4BE4"/>
    <w:rsid w:val="00BF3B12"/>
    <w:rsid w:val="00C00DE7"/>
    <w:rsid w:val="00C05B50"/>
    <w:rsid w:val="00C131B0"/>
    <w:rsid w:val="00C50FB2"/>
    <w:rsid w:val="00C51DBA"/>
    <w:rsid w:val="00C56AF6"/>
    <w:rsid w:val="00C90B14"/>
    <w:rsid w:val="00CB5D7A"/>
    <w:rsid w:val="00CE2676"/>
    <w:rsid w:val="00CF617F"/>
    <w:rsid w:val="00D21E13"/>
    <w:rsid w:val="00D36143"/>
    <w:rsid w:val="00D62E4B"/>
    <w:rsid w:val="00D66D5E"/>
    <w:rsid w:val="00D74852"/>
    <w:rsid w:val="00D833B5"/>
    <w:rsid w:val="00D868CF"/>
    <w:rsid w:val="00D934A9"/>
    <w:rsid w:val="00DA1C83"/>
    <w:rsid w:val="00E025D7"/>
    <w:rsid w:val="00E06BCA"/>
    <w:rsid w:val="00E07190"/>
    <w:rsid w:val="00E10E6A"/>
    <w:rsid w:val="00E31422"/>
    <w:rsid w:val="00E45EF1"/>
    <w:rsid w:val="00E94224"/>
    <w:rsid w:val="00E94BDB"/>
    <w:rsid w:val="00EE4A0C"/>
    <w:rsid w:val="00F05518"/>
    <w:rsid w:val="00F07EF2"/>
    <w:rsid w:val="00F43F25"/>
    <w:rsid w:val="00F84D8C"/>
    <w:rsid w:val="00F85F9D"/>
    <w:rsid w:val="00FA3EF7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Foglio_di_lavoro_di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Foglio_di_lavoro_di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package" Target="../embeddings/Foglio_di_lavoro_di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Foglio_di_lavoro_di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Foglio_di_lavoro_di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Foglio_di_lavoro_di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 10 - Valore limite 50µg/m³ v.l.= </a:t>
            </a:r>
            <a:r>
              <a:rPr lang="it-IT" sz="1200" baseline="0"/>
              <a:t> </a:t>
            </a:r>
            <a:r>
              <a:rPr lang="it-IT" sz="1200"/>
              <a:t> </a:t>
            </a:r>
            <a:endParaRPr lang="it-IT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105658912226E-2"/>
          <c:y val="0.18417460975272829"/>
          <c:w val="0.86718964650695263"/>
          <c:h val="0.51974369600561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23</c:v>
                </c:pt>
                <c:pt idx="1">
                  <c:v>25</c:v>
                </c:pt>
                <c:pt idx="2">
                  <c:v>20</c:v>
                </c:pt>
                <c:pt idx="3">
                  <c:v>20</c:v>
                </c:pt>
                <c:pt idx="4">
                  <c:v>22</c:v>
                </c:pt>
                <c:pt idx="5">
                  <c:v>22</c:v>
                </c:pt>
                <c:pt idx="6">
                  <c:v>24</c:v>
                </c:pt>
                <c:pt idx="7">
                  <c:v>24</c:v>
                </c:pt>
                <c:pt idx="8">
                  <c:v>23</c:v>
                </c:pt>
                <c:pt idx="9">
                  <c:v>29</c:v>
                </c:pt>
                <c:pt idx="10">
                  <c:v>28</c:v>
                </c:pt>
                <c:pt idx="11">
                  <c:v>35</c:v>
                </c:pt>
                <c:pt idx="12">
                  <c:v>28</c:v>
                </c:pt>
                <c:pt idx="13">
                  <c:v>27</c:v>
                </c:pt>
                <c:pt idx="14">
                  <c:v>21</c:v>
                </c:pt>
                <c:pt idx="15">
                  <c:v>25</c:v>
                </c:pt>
                <c:pt idx="16">
                  <c:v>18</c:v>
                </c:pt>
                <c:pt idx="17">
                  <c:v>20</c:v>
                </c:pt>
                <c:pt idx="18">
                  <c:v>21</c:v>
                </c:pt>
                <c:pt idx="19">
                  <c:v>27</c:v>
                </c:pt>
                <c:pt idx="20">
                  <c:v>28</c:v>
                </c:pt>
                <c:pt idx="21">
                  <c:v>24</c:v>
                </c:pt>
                <c:pt idx="22">
                  <c:v>21</c:v>
                </c:pt>
                <c:pt idx="23">
                  <c:v>0</c:v>
                </c:pt>
                <c:pt idx="24">
                  <c:v>15</c:v>
                </c:pt>
                <c:pt idx="25">
                  <c:v>12</c:v>
                </c:pt>
                <c:pt idx="26">
                  <c:v>14</c:v>
                </c:pt>
                <c:pt idx="27">
                  <c:v>16</c:v>
                </c:pt>
                <c:pt idx="28">
                  <c:v>17</c:v>
                </c:pt>
                <c:pt idx="29">
                  <c:v>23</c:v>
                </c:pt>
                <c:pt idx="30">
                  <c:v>19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83"/>
        <c:axId val="166875904"/>
        <c:axId val="166877440"/>
      </c:barChart>
      <c:catAx>
        <c:axId val="16687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877440"/>
        <c:crossesAt val="0"/>
        <c:auto val="1"/>
        <c:lblAlgn val="ctr"/>
        <c:lblOffset val="100"/>
        <c:noMultiLvlLbl val="0"/>
      </c:catAx>
      <c:valAx>
        <c:axId val="166877440"/>
        <c:scaling>
          <c:orientation val="minMax"/>
          <c:max val="7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875904"/>
        <c:crossesAt val="1"/>
        <c:crossBetween val="between"/>
      </c:valAx>
      <c:spPr>
        <a:solidFill>
          <a:schemeClr val="accent1">
            <a:lumMod val="40000"/>
            <a:lumOff val="60000"/>
          </a:schemeClr>
        </a:solidFill>
      </c:spPr>
    </c:plotArea>
    <c:legend>
      <c:legendPos val="b"/>
      <c:layout>
        <c:manualLayout>
          <c:xMode val="edge"/>
          <c:yMode val="edge"/>
          <c:x val="2.1876845764123031E-2"/>
          <c:y val="0.88075658558874459"/>
          <c:w val="0.93172283763249375"/>
          <c:h val="9.7613567534827417E-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200" b="1"/>
              <a:t>O3 – Valore limite 180 µg/m³  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125</c:v>
                </c:pt>
                <c:pt idx="1">
                  <c:v>126</c:v>
                </c:pt>
                <c:pt idx="2">
                  <c:v>133</c:v>
                </c:pt>
                <c:pt idx="3">
                  <c:v>130</c:v>
                </c:pt>
                <c:pt idx="4">
                  <c:v>128</c:v>
                </c:pt>
                <c:pt idx="5">
                  <c:v>121</c:v>
                </c:pt>
                <c:pt idx="6">
                  <c:v>133</c:v>
                </c:pt>
                <c:pt idx="7">
                  <c:v>131</c:v>
                </c:pt>
                <c:pt idx="8">
                  <c:v>131</c:v>
                </c:pt>
                <c:pt idx="9">
                  <c:v>138</c:v>
                </c:pt>
                <c:pt idx="10">
                  <c:v>146</c:v>
                </c:pt>
                <c:pt idx="11">
                  <c:v>131</c:v>
                </c:pt>
                <c:pt idx="12">
                  <c:v>124</c:v>
                </c:pt>
                <c:pt idx="13">
                  <c:v>94</c:v>
                </c:pt>
                <c:pt idx="14">
                  <c:v>108</c:v>
                </c:pt>
                <c:pt idx="15">
                  <c:v>146</c:v>
                </c:pt>
                <c:pt idx="16">
                  <c:v>139</c:v>
                </c:pt>
                <c:pt idx="17">
                  <c:v>139</c:v>
                </c:pt>
                <c:pt idx="18">
                  <c:v>135</c:v>
                </c:pt>
                <c:pt idx="19">
                  <c:v>0</c:v>
                </c:pt>
                <c:pt idx="20">
                  <c:v>128</c:v>
                </c:pt>
                <c:pt idx="21">
                  <c:v>140</c:v>
                </c:pt>
                <c:pt idx="22">
                  <c:v>173</c:v>
                </c:pt>
                <c:pt idx="23">
                  <c:v>112</c:v>
                </c:pt>
                <c:pt idx="24">
                  <c:v>143</c:v>
                </c:pt>
                <c:pt idx="25">
                  <c:v>139</c:v>
                </c:pt>
                <c:pt idx="26">
                  <c:v>110</c:v>
                </c:pt>
                <c:pt idx="27">
                  <c:v>113</c:v>
                </c:pt>
                <c:pt idx="28">
                  <c:v>136</c:v>
                </c:pt>
                <c:pt idx="29">
                  <c:v>145</c:v>
                </c:pt>
                <c:pt idx="30">
                  <c:v>153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2672176308539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7306590257879654E-3"/>
                  <c:y val="0.14325068870523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306590257879654E-3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2196752626551E-3"/>
                  <c:y val="0.15977961432506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5426997245179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6408787010506206E-3"/>
                  <c:y val="0.20936639118457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0.13223140495867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0.23140495867768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0.19283746556473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20385674931129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8201385285292059E-3"/>
                  <c:y val="0.10468276176221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0082199610435515E-7"/>
                  <c:y val="0.132230971128608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8204393505253103E-3"/>
                  <c:y val="0.104682327932148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0.148759462918374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5041099805217758E-7"/>
                  <c:y val="0.148759462918374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9099188532665508E-3"/>
                  <c:y val="0.121211253551983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3.8202889395273281E-3"/>
                  <c:y val="0.132230537298540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2121212121212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70798898071625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9102196752626551E-3"/>
                  <c:y val="0.23140495867768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3.8204393505253103E-3"/>
                  <c:y val="0.12672176308539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9102196752626551E-3"/>
                  <c:y val="0.258952734214008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9102196752626551E-3"/>
                  <c:y val="0.17630853994490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9102196752626551E-3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1.910069264264603E-3"/>
                  <c:y val="0.220385241101060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1.9103700862607073E-3"/>
                  <c:y val="0.132230971128608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0.148760330578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0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3.8204393505253103E-3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3.8204393505253103E-3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127</c:v>
                </c:pt>
                <c:pt idx="1">
                  <c:v>134</c:v>
                </c:pt>
                <c:pt idx="2">
                  <c:v>160</c:v>
                </c:pt>
                <c:pt idx="3">
                  <c:v>147</c:v>
                </c:pt>
                <c:pt idx="4">
                  <c:v>135</c:v>
                </c:pt>
                <c:pt idx="5">
                  <c:v>138</c:v>
                </c:pt>
                <c:pt idx="6">
                  <c:v>135</c:v>
                </c:pt>
                <c:pt idx="7">
                  <c:v>142</c:v>
                </c:pt>
                <c:pt idx="8">
                  <c:v>131</c:v>
                </c:pt>
                <c:pt idx="9">
                  <c:v>140</c:v>
                </c:pt>
                <c:pt idx="10">
                  <c:v>141</c:v>
                </c:pt>
                <c:pt idx="11">
                  <c:v>132</c:v>
                </c:pt>
                <c:pt idx="12">
                  <c:v>123</c:v>
                </c:pt>
                <c:pt idx="13">
                  <c:v>92</c:v>
                </c:pt>
                <c:pt idx="14">
                  <c:v>113</c:v>
                </c:pt>
                <c:pt idx="15">
                  <c:v>141</c:v>
                </c:pt>
                <c:pt idx="16">
                  <c:v>129</c:v>
                </c:pt>
                <c:pt idx="17">
                  <c:v>143</c:v>
                </c:pt>
                <c:pt idx="18">
                  <c:v>137</c:v>
                </c:pt>
                <c:pt idx="19">
                  <c:v>155</c:v>
                </c:pt>
                <c:pt idx="20">
                  <c:v>152</c:v>
                </c:pt>
                <c:pt idx="21">
                  <c:v>135</c:v>
                </c:pt>
                <c:pt idx="22">
                  <c:v>164</c:v>
                </c:pt>
                <c:pt idx="23">
                  <c:v>134</c:v>
                </c:pt>
                <c:pt idx="24">
                  <c:v>165</c:v>
                </c:pt>
                <c:pt idx="25">
                  <c:v>153</c:v>
                </c:pt>
                <c:pt idx="26">
                  <c:v>107</c:v>
                </c:pt>
                <c:pt idx="27">
                  <c:v>112</c:v>
                </c:pt>
                <c:pt idx="28">
                  <c:v>145</c:v>
                </c:pt>
                <c:pt idx="29">
                  <c:v>147</c:v>
                </c:pt>
                <c:pt idx="30">
                  <c:v>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overlap val="-14"/>
        <c:axId val="165717504"/>
        <c:axId val="165719040"/>
      </c:barChart>
      <c:catAx>
        <c:axId val="16571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719040"/>
        <c:crosses val="autoZero"/>
        <c:auto val="1"/>
        <c:lblAlgn val="ctr"/>
        <c:lblOffset val="100"/>
        <c:noMultiLvlLbl val="0"/>
      </c:catAx>
      <c:valAx>
        <c:axId val="165719040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717504"/>
        <c:crossesAt val="1"/>
        <c:crossBetween val="between"/>
        <c:majorUnit val="20"/>
      </c:valAx>
      <c:spPr>
        <a:solidFill>
          <a:srgbClr val="F79646">
            <a:lumMod val="60000"/>
            <a:lumOff val="40000"/>
          </a:srgbClr>
        </a:solidFill>
      </c:spPr>
    </c:plotArea>
    <c:legend>
      <c:legendPos val="b"/>
      <c:layout>
        <c:manualLayout>
          <c:xMode val="edge"/>
          <c:yMode val="edge"/>
          <c:x val="0.33098341686841987"/>
          <c:y val="0.86731177197891574"/>
          <c:w val="0.33038936729507346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CO – Valore limite 10 mg/m³  v.l.= </a:t>
            </a:r>
            <a:endParaRPr lang="it-IT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1435447359910957E-2"/>
          <c:y val="0.16922758057097964"/>
          <c:w val="0.93174885004461394"/>
          <c:h val="0.5846739952191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0.2</c:v>
                </c:pt>
                <c:pt idx="1">
                  <c:v>0.2</c:v>
                </c:pt>
                <c:pt idx="2">
                  <c:v>0.3</c:v>
                </c:pt>
                <c:pt idx="3">
                  <c:v>0.3</c:v>
                </c:pt>
                <c:pt idx="4">
                  <c:v>0.3</c:v>
                </c:pt>
                <c:pt idx="5">
                  <c:v>0.3</c:v>
                </c:pt>
                <c:pt idx="6">
                  <c:v>0.4</c:v>
                </c:pt>
                <c:pt idx="7">
                  <c:v>0.3</c:v>
                </c:pt>
                <c:pt idx="8">
                  <c:v>0.3</c:v>
                </c:pt>
                <c:pt idx="9">
                  <c:v>0.3</c:v>
                </c:pt>
                <c:pt idx="10">
                  <c:v>0.3</c:v>
                </c:pt>
                <c:pt idx="11">
                  <c:v>0.3</c:v>
                </c:pt>
                <c:pt idx="12">
                  <c:v>0.3</c:v>
                </c:pt>
                <c:pt idx="13">
                  <c:v>0.2</c:v>
                </c:pt>
                <c:pt idx="14">
                  <c:v>0.3</c:v>
                </c:pt>
                <c:pt idx="15">
                  <c:v>0.2</c:v>
                </c:pt>
                <c:pt idx="16">
                  <c:v>0.3</c:v>
                </c:pt>
                <c:pt idx="17">
                  <c:v>0.3</c:v>
                </c:pt>
                <c:pt idx="18">
                  <c:v>0.3</c:v>
                </c:pt>
                <c:pt idx="19">
                  <c:v>0.3</c:v>
                </c:pt>
                <c:pt idx="20">
                  <c:v>0.3</c:v>
                </c:pt>
                <c:pt idx="21">
                  <c:v>0.3</c:v>
                </c:pt>
                <c:pt idx="22">
                  <c:v>0.4</c:v>
                </c:pt>
                <c:pt idx="23">
                  <c:v>0.5</c:v>
                </c:pt>
                <c:pt idx="24">
                  <c:v>0.5</c:v>
                </c:pt>
                <c:pt idx="25">
                  <c:v>0.3</c:v>
                </c:pt>
                <c:pt idx="26">
                  <c:v>0.2</c:v>
                </c:pt>
                <c:pt idx="27">
                  <c:v>0.3</c:v>
                </c:pt>
                <c:pt idx="28">
                  <c:v>0.3</c:v>
                </c:pt>
                <c:pt idx="29">
                  <c:v>0.3</c:v>
                </c:pt>
                <c:pt idx="30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100"/>
        <c:axId val="171243008"/>
        <c:axId val="171244544"/>
      </c:barChart>
      <c:catAx>
        <c:axId val="17124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244544"/>
        <c:crosses val="autoZero"/>
        <c:auto val="1"/>
        <c:lblAlgn val="ctr"/>
        <c:lblOffset val="100"/>
        <c:noMultiLvlLbl val="0"/>
      </c:catAx>
      <c:valAx>
        <c:axId val="171244544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243008"/>
        <c:crosses val="autoZero"/>
        <c:crossBetween val="between"/>
        <c:majorUnit val="1"/>
      </c:valAx>
      <c:spPr>
        <a:solidFill>
          <a:srgbClr val="FAFD6B"/>
        </a:solidFill>
      </c:spPr>
    </c:plotArea>
    <c:legend>
      <c:legendPos val="b"/>
      <c:layout>
        <c:manualLayout>
          <c:xMode val="edge"/>
          <c:yMode val="edge"/>
          <c:x val="0.10740229705187102"/>
          <c:y val="0.87928011632569958"/>
          <c:w val="0.7832844561542362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rgbClr val="FAFD6B"/>
    </a:solidFill>
  </c:sp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SO2 – Valore limite 350 µg/m³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0.9</c:v>
                </c:pt>
                <c:pt idx="1">
                  <c:v>3.6</c:v>
                </c:pt>
                <c:pt idx="2">
                  <c:v>5.7</c:v>
                </c:pt>
                <c:pt idx="3">
                  <c:v>0.9</c:v>
                </c:pt>
                <c:pt idx="4">
                  <c:v>1.1000000000000001</c:v>
                </c:pt>
                <c:pt idx="5">
                  <c:v>1.7</c:v>
                </c:pt>
                <c:pt idx="6">
                  <c:v>12.7</c:v>
                </c:pt>
                <c:pt idx="7">
                  <c:v>1.6</c:v>
                </c:pt>
                <c:pt idx="8">
                  <c:v>2</c:v>
                </c:pt>
                <c:pt idx="9">
                  <c:v>2.8</c:v>
                </c:pt>
                <c:pt idx="10">
                  <c:v>1.6</c:v>
                </c:pt>
                <c:pt idx="11">
                  <c:v>1</c:v>
                </c:pt>
                <c:pt idx="12">
                  <c:v>1.4</c:v>
                </c:pt>
                <c:pt idx="13">
                  <c:v>0.6</c:v>
                </c:pt>
                <c:pt idx="14">
                  <c:v>3.9</c:v>
                </c:pt>
                <c:pt idx="15">
                  <c:v>1.9</c:v>
                </c:pt>
                <c:pt idx="16">
                  <c:v>0.8</c:v>
                </c:pt>
                <c:pt idx="17">
                  <c:v>1.1000000000000001</c:v>
                </c:pt>
                <c:pt idx="18">
                  <c:v>1.2</c:v>
                </c:pt>
                <c:pt idx="19">
                  <c:v>0.5</c:v>
                </c:pt>
                <c:pt idx="20">
                  <c:v>3.2</c:v>
                </c:pt>
                <c:pt idx="21">
                  <c:v>1.9</c:v>
                </c:pt>
                <c:pt idx="22">
                  <c:v>4</c:v>
                </c:pt>
                <c:pt idx="23">
                  <c:v>1.3</c:v>
                </c:pt>
                <c:pt idx="24">
                  <c:v>1.4</c:v>
                </c:pt>
                <c:pt idx="25">
                  <c:v>2.2000000000000002</c:v>
                </c:pt>
                <c:pt idx="26">
                  <c:v>1.1000000000000001</c:v>
                </c:pt>
                <c:pt idx="27">
                  <c:v>2.2999999999999998</c:v>
                </c:pt>
                <c:pt idx="28">
                  <c:v>1.8</c:v>
                </c:pt>
                <c:pt idx="29">
                  <c:v>2.9</c:v>
                </c:pt>
                <c:pt idx="30">
                  <c:v>1.3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9.1999999999999993</c:v>
                </c:pt>
                <c:pt idx="1">
                  <c:v>11.3</c:v>
                </c:pt>
                <c:pt idx="2">
                  <c:v>6.2</c:v>
                </c:pt>
                <c:pt idx="3">
                  <c:v>5.7</c:v>
                </c:pt>
                <c:pt idx="4">
                  <c:v>4.3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1.7</c:v>
                </c:pt>
                <c:pt idx="28">
                  <c:v>2.1</c:v>
                </c:pt>
                <c:pt idx="29">
                  <c:v>2.1</c:v>
                </c:pt>
                <c:pt idx="30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30"/>
        <c:axId val="170996480"/>
        <c:axId val="170998016"/>
      </c:barChart>
      <c:catAx>
        <c:axId val="17099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998016"/>
        <c:crosses val="autoZero"/>
        <c:auto val="1"/>
        <c:lblAlgn val="ctr"/>
        <c:lblOffset val="100"/>
        <c:noMultiLvlLbl val="0"/>
      </c:catAx>
      <c:valAx>
        <c:axId val="170998016"/>
        <c:scaling>
          <c:orientation val="minMax"/>
          <c:max val="3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996480"/>
        <c:crosses val="autoZero"/>
        <c:crossBetween val="between"/>
        <c:majorUnit val="50"/>
      </c:valAx>
      <c:spPr>
        <a:solidFill>
          <a:srgbClr val="A9FBFD"/>
        </a:solidFill>
      </c:spPr>
    </c:plotArea>
    <c:legend>
      <c:legendPos val="b"/>
      <c:layout>
        <c:manualLayout>
          <c:xMode val="edge"/>
          <c:yMode val="edge"/>
          <c:x val="0.2736549246077663"/>
          <c:y val="0.86731177197891574"/>
          <c:w val="0.4374025528482932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A9FBFD"/>
    </a:solid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PM2.5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09493494164E-2"/>
          <c:y val="0.21656330889673359"/>
          <c:w val="0.86718964650695263"/>
          <c:h val="0.5575306362566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15</c:v>
                </c:pt>
                <c:pt idx="4">
                  <c:v>18</c:v>
                </c:pt>
                <c:pt idx="5">
                  <c:v>17</c:v>
                </c:pt>
                <c:pt idx="6">
                  <c:v>18</c:v>
                </c:pt>
                <c:pt idx="7">
                  <c:v>21</c:v>
                </c:pt>
                <c:pt idx="8">
                  <c:v>18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21</c:v>
                </c:pt>
                <c:pt idx="15">
                  <c:v>9</c:v>
                </c:pt>
                <c:pt idx="16">
                  <c:v>12</c:v>
                </c:pt>
                <c:pt idx="17">
                  <c:v>12</c:v>
                </c:pt>
                <c:pt idx="18">
                  <c:v>17</c:v>
                </c:pt>
                <c:pt idx="19">
                  <c:v>22</c:v>
                </c:pt>
                <c:pt idx="20">
                  <c:v>28</c:v>
                </c:pt>
                <c:pt idx="21">
                  <c:v>23</c:v>
                </c:pt>
                <c:pt idx="22">
                  <c:v>18</c:v>
                </c:pt>
                <c:pt idx="23">
                  <c:v>15</c:v>
                </c:pt>
                <c:pt idx="24">
                  <c:v>12</c:v>
                </c:pt>
                <c:pt idx="25">
                  <c:v>11</c:v>
                </c:pt>
                <c:pt idx="26">
                  <c:v>10</c:v>
                </c:pt>
                <c:pt idx="27">
                  <c:v>16</c:v>
                </c:pt>
                <c:pt idx="28">
                  <c:v>21</c:v>
                </c:pt>
                <c:pt idx="29">
                  <c:v>14</c:v>
                </c:pt>
                <c:pt idx="3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overlap val="100"/>
        <c:axId val="167297408"/>
        <c:axId val="167298944"/>
      </c:barChart>
      <c:catAx>
        <c:axId val="16729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298944"/>
        <c:crosses val="autoZero"/>
        <c:auto val="1"/>
        <c:lblAlgn val="ctr"/>
        <c:lblOffset val="100"/>
        <c:noMultiLvlLbl val="0"/>
      </c:catAx>
      <c:valAx>
        <c:axId val="16729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297408"/>
        <c:crosses val="autoZero"/>
        <c:crossBetween val="between"/>
      </c:valAx>
      <c:spPr>
        <a:solidFill>
          <a:srgbClr val="92D050"/>
        </a:solidFill>
      </c:spPr>
    </c:plotArea>
    <c:legend>
      <c:legendPos val="b"/>
      <c:layout>
        <c:manualLayout>
          <c:xMode val="edge"/>
          <c:yMode val="edge"/>
          <c:x val="1.3675026041374987E-2"/>
          <c:y val="0.87233345831771014"/>
          <c:w val="0.87188569423132223"/>
          <c:h val="0.12492513565338029"/>
        </c:manualLayout>
      </c:layout>
      <c:overlay val="0"/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NO2 - Valore limite 200µg/m³  v.l.= 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 baseline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14</c:v>
                </c:pt>
                <c:pt idx="1">
                  <c:v>20</c:v>
                </c:pt>
                <c:pt idx="2">
                  <c:v>10</c:v>
                </c:pt>
                <c:pt idx="3">
                  <c:v>13</c:v>
                </c:pt>
                <c:pt idx="4">
                  <c:v>6</c:v>
                </c:pt>
                <c:pt idx="5">
                  <c:v>11</c:v>
                </c:pt>
                <c:pt idx="6">
                  <c:v>17</c:v>
                </c:pt>
                <c:pt idx="7">
                  <c:v>17</c:v>
                </c:pt>
                <c:pt idx="8">
                  <c:v>26</c:v>
                </c:pt>
                <c:pt idx="9">
                  <c:v>19</c:v>
                </c:pt>
                <c:pt idx="10">
                  <c:v>13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22</c:v>
                </c:pt>
                <c:pt idx="25">
                  <c:v>11</c:v>
                </c:pt>
                <c:pt idx="26">
                  <c:v>11</c:v>
                </c:pt>
                <c:pt idx="27">
                  <c:v>29</c:v>
                </c:pt>
                <c:pt idx="28">
                  <c:v>16</c:v>
                </c:pt>
                <c:pt idx="29">
                  <c:v>10</c:v>
                </c:pt>
                <c:pt idx="30">
                  <c:v>12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4626473929564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888715397827396E-3"/>
                  <c:y val="-7.8348415403298463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870662413657217E-7"/>
                  <c:y val="1.4924981392251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741324827314435E-7"/>
                  <c:y val="1.9900105770360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771482530689331E-3"/>
                  <c:y val="2.4875230148470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4924981392251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4870662413657217E-7"/>
                  <c:y val="9.94946527206487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2.4875230148470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870662413657217E-7"/>
                  <c:y val="1.9900105770360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2.9850354526579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2.4874838406393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8888715397827396E-3"/>
                  <c:y val="1.4924589650174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2.4875230148470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8885741265344666E-3"/>
                  <c:y val="1.9900105770360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4870662406732524E-7"/>
                  <c:y val="1.4924981392251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8887228331586031E-3"/>
                  <c:y val="1.4924981392251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8887228331585337E-3"/>
                  <c:y val="1.9900105770360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4870662420581908E-7"/>
                  <c:y val="6.965174129353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7.9601990049751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4870662413657217E-7"/>
                  <c:y val="8.4575547459552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8884254199103298E-3"/>
                  <c:y val="0.114426685470286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4870662413657217E-7"/>
                  <c:y val="0.10447761194029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8885741265344666E-3"/>
                  <c:y val="5.970110079523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4870662413657217E-7"/>
                  <c:y val="5.970149253731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8885741265344666E-3"/>
                  <c:y val="6.467622517334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7.462686567164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5.9700709053159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8.45771144278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0"/>
                  <c:y val="6.965174129353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9601990049751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-1.4870662413657217E-7"/>
                  <c:y val="6.4675833431268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 baseline="0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14</c:v>
                </c:pt>
                <c:pt idx="18">
                  <c:v>20</c:v>
                </c:pt>
                <c:pt idx="19">
                  <c:v>22</c:v>
                </c:pt>
                <c:pt idx="20">
                  <c:v>35</c:v>
                </c:pt>
                <c:pt idx="21">
                  <c:v>31</c:v>
                </c:pt>
                <c:pt idx="22">
                  <c:v>12</c:v>
                </c:pt>
                <c:pt idx="23">
                  <c:v>19</c:v>
                </c:pt>
                <c:pt idx="24">
                  <c:v>23</c:v>
                </c:pt>
                <c:pt idx="25">
                  <c:v>25</c:v>
                </c:pt>
                <c:pt idx="26">
                  <c:v>12</c:v>
                </c:pt>
                <c:pt idx="27">
                  <c:v>25</c:v>
                </c:pt>
                <c:pt idx="28">
                  <c:v>17</c:v>
                </c:pt>
                <c:pt idx="29">
                  <c:v>21</c:v>
                </c:pt>
                <c:pt idx="30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41"/>
        <c:axId val="164695424"/>
        <c:axId val="164697216"/>
      </c:barChart>
      <c:catAx>
        <c:axId val="16469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697216"/>
        <c:crosses val="autoZero"/>
        <c:auto val="1"/>
        <c:lblAlgn val="ctr"/>
        <c:lblOffset val="100"/>
        <c:noMultiLvlLbl val="0"/>
      </c:catAx>
      <c:valAx>
        <c:axId val="164697216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695424"/>
        <c:crosses val="autoZero"/>
        <c:crossBetween val="between"/>
        <c:majorUnit val="20"/>
      </c:valAx>
      <c:spPr>
        <a:solidFill>
          <a:schemeClr val="accent4">
            <a:lumMod val="20000"/>
            <a:lumOff val="80000"/>
          </a:schemeClr>
        </a:solidFill>
      </c:spPr>
    </c:plotArea>
    <c:legend>
      <c:legendPos val="b"/>
      <c:layout>
        <c:manualLayout>
          <c:xMode val="edge"/>
          <c:yMode val="edge"/>
          <c:x val="0.24121115728243794"/>
          <c:y val="0.87520938614016541"/>
          <c:w val="0.43412566316834872"/>
          <c:h val="8.996474321306853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O3 – Valore limite 180 µg/m³  v.l.= 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3.8204393505253454E-3"/>
                  <c:y val="4.5111992579874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7.518796992481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1.5037593984962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0"/>
                  <c:y val="3.007518796992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0"/>
                  <c:y val="3.007518796992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2.005012531328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119</c:v>
                </c:pt>
                <c:pt idx="1">
                  <c:v>115</c:v>
                </c:pt>
                <c:pt idx="2">
                  <c:v>107</c:v>
                </c:pt>
                <c:pt idx="3">
                  <c:v>96</c:v>
                </c:pt>
                <c:pt idx="4">
                  <c:v>100</c:v>
                </c:pt>
                <c:pt idx="5">
                  <c:v>85</c:v>
                </c:pt>
                <c:pt idx="6">
                  <c:v>149</c:v>
                </c:pt>
                <c:pt idx="7">
                  <c:v>121</c:v>
                </c:pt>
                <c:pt idx="8">
                  <c:v>136</c:v>
                </c:pt>
                <c:pt idx="9">
                  <c:v>178</c:v>
                </c:pt>
                <c:pt idx="10">
                  <c:v>155</c:v>
                </c:pt>
                <c:pt idx="11">
                  <c:v>150</c:v>
                </c:pt>
                <c:pt idx="12">
                  <c:v>130</c:v>
                </c:pt>
                <c:pt idx="13">
                  <c:v>149</c:v>
                </c:pt>
                <c:pt idx="14">
                  <c:v>123</c:v>
                </c:pt>
                <c:pt idx="15">
                  <c:v>115</c:v>
                </c:pt>
                <c:pt idx="16">
                  <c:v>110</c:v>
                </c:pt>
                <c:pt idx="17">
                  <c:v>109</c:v>
                </c:pt>
                <c:pt idx="18">
                  <c:v>120</c:v>
                </c:pt>
                <c:pt idx="19">
                  <c:v>145</c:v>
                </c:pt>
                <c:pt idx="20">
                  <c:v>133</c:v>
                </c:pt>
                <c:pt idx="21">
                  <c:v>132</c:v>
                </c:pt>
                <c:pt idx="22">
                  <c:v>101</c:v>
                </c:pt>
                <c:pt idx="23">
                  <c:v>0</c:v>
                </c:pt>
                <c:pt idx="24">
                  <c:v>95</c:v>
                </c:pt>
                <c:pt idx="25">
                  <c:v>0</c:v>
                </c:pt>
                <c:pt idx="26">
                  <c:v>120</c:v>
                </c:pt>
                <c:pt idx="27">
                  <c:v>135</c:v>
                </c:pt>
                <c:pt idx="28">
                  <c:v>132</c:v>
                </c:pt>
                <c:pt idx="29">
                  <c:v>133</c:v>
                </c:pt>
                <c:pt idx="30">
                  <c:v>136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80451127819548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00692642646205E-3"/>
                  <c:y val="0.195488327117005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7308094367860178E-3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204393505253103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5041099805217758E-7"/>
                  <c:y val="0.16039981844374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8202889395272583E-3"/>
                  <c:y val="0.175437807116215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8201385285292059E-3"/>
                  <c:y val="0.12531288852051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9106709082568117E-3"/>
                  <c:y val="2.506147257908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9102196752626551E-3"/>
                  <c:y val="3.0074398594912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8204393505253103E-3"/>
                  <c:y val="3.0074398594912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3.8204393505253103E-3"/>
                  <c:y val="2.506147257908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5.7306590257879654E-3"/>
                  <c:y val="3.0074003907406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7.6405778790545166E-3"/>
                  <c:y val="2.5061867266591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7.0040578978218872E-17"/>
                  <c:y val="3.0074398594912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910069264264673E-3"/>
                  <c:y val="2.0048941250764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5.7306590257880357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303258145363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9102196752626551E-3"/>
                  <c:y val="0.11528822055137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9103700862607073E-3"/>
                  <c:y val="0.215538452430288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9102196752626551E-3"/>
                  <c:y val="0.180450733132042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9102196752626551E-3"/>
                  <c:y val="0.12531328320802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9103700862607073E-3"/>
                  <c:y val="0.205512995086140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9102196752626551E-3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3.8204393505253103E-3"/>
                  <c:y val="0.100250626566416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518796992481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122</c:v>
                </c:pt>
                <c:pt idx="1">
                  <c:v>143</c:v>
                </c:pt>
                <c:pt idx="2">
                  <c:v>113</c:v>
                </c:pt>
                <c:pt idx="3">
                  <c:v>110</c:v>
                </c:pt>
                <c:pt idx="4">
                  <c:v>110</c:v>
                </c:pt>
                <c:pt idx="5">
                  <c:v>100</c:v>
                </c:pt>
                <c:pt idx="6">
                  <c:v>144</c:v>
                </c:pt>
                <c:pt idx="7">
                  <c:v>124</c:v>
                </c:pt>
                <c:pt idx="8">
                  <c:v>143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109</c:v>
                </c:pt>
                <c:pt idx="18">
                  <c:v>122</c:v>
                </c:pt>
                <c:pt idx="19">
                  <c:v>152</c:v>
                </c:pt>
                <c:pt idx="20">
                  <c:v>146</c:v>
                </c:pt>
                <c:pt idx="21">
                  <c:v>149</c:v>
                </c:pt>
                <c:pt idx="22">
                  <c:v>122</c:v>
                </c:pt>
                <c:pt idx="23">
                  <c:v>110</c:v>
                </c:pt>
                <c:pt idx="24">
                  <c:v>124</c:v>
                </c:pt>
                <c:pt idx="25">
                  <c:v>126</c:v>
                </c:pt>
                <c:pt idx="26">
                  <c:v>118</c:v>
                </c:pt>
                <c:pt idx="27">
                  <c:v>133</c:v>
                </c:pt>
                <c:pt idx="28">
                  <c:v>149</c:v>
                </c:pt>
                <c:pt idx="29">
                  <c:v>132</c:v>
                </c:pt>
                <c:pt idx="30">
                  <c:v>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65203968"/>
        <c:axId val="165205504"/>
      </c:barChart>
      <c:catAx>
        <c:axId val="16520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205504"/>
        <c:crosses val="autoZero"/>
        <c:auto val="1"/>
        <c:lblAlgn val="ctr"/>
        <c:lblOffset val="100"/>
        <c:noMultiLvlLbl val="0"/>
      </c:catAx>
      <c:valAx>
        <c:axId val="165205504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203968"/>
        <c:crosses val="autoZero"/>
        <c:crossBetween val="between"/>
        <c:majorUnit val="20"/>
      </c:valAx>
      <c:spPr>
        <a:solidFill>
          <a:srgbClr val="F79646">
            <a:lumMod val="60000"/>
            <a:lumOff val="40000"/>
          </a:srgbClr>
        </a:solidFill>
      </c:spPr>
    </c:plotArea>
    <c:legend>
      <c:legendPos val="b"/>
      <c:layout>
        <c:manualLayout>
          <c:xMode val="edge"/>
          <c:yMode val="edge"/>
          <c:x val="0.33480390166128948"/>
          <c:y val="0.86990996895004569"/>
          <c:w val="0.3189236688429426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CO – Valore limite 10 mg/m³  v.l.= </a:t>
            </a:r>
            <a:endParaRPr lang="it-IT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1435447359910957E-2"/>
          <c:y val="0.16922758057097964"/>
          <c:w val="0.93174885004461394"/>
          <c:h val="0.5846739952191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0.3</c:v>
                </c:pt>
                <c:pt idx="1">
                  <c:v>0.3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0.2</c:v>
                </c:pt>
                <c:pt idx="6">
                  <c:v>0.2</c:v>
                </c:pt>
                <c:pt idx="7">
                  <c:v>0.2</c:v>
                </c:pt>
                <c:pt idx="8">
                  <c:v>0.3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0.3</c:v>
                </c:pt>
                <c:pt idx="21">
                  <c:v>0.3</c:v>
                </c:pt>
                <c:pt idx="22">
                  <c:v>0.2</c:v>
                </c:pt>
                <c:pt idx="23">
                  <c:v>0.2</c:v>
                </c:pt>
                <c:pt idx="24">
                  <c:v>0.2</c:v>
                </c:pt>
                <c:pt idx="25">
                  <c:v>0.2</c:v>
                </c:pt>
                <c:pt idx="26">
                  <c:v>0.2</c:v>
                </c:pt>
                <c:pt idx="27">
                  <c:v>0.3</c:v>
                </c:pt>
                <c:pt idx="28">
                  <c:v>0.3</c:v>
                </c:pt>
                <c:pt idx="29">
                  <c:v>0.2</c:v>
                </c:pt>
                <c:pt idx="3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100"/>
        <c:axId val="165731712"/>
        <c:axId val="165737600"/>
      </c:barChart>
      <c:catAx>
        <c:axId val="165731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737600"/>
        <c:crosses val="autoZero"/>
        <c:auto val="1"/>
        <c:lblAlgn val="ctr"/>
        <c:lblOffset val="100"/>
        <c:noMultiLvlLbl val="0"/>
      </c:catAx>
      <c:valAx>
        <c:axId val="165737600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731712"/>
        <c:crosses val="autoZero"/>
        <c:crossBetween val="between"/>
        <c:majorUnit val="1"/>
      </c:valAx>
      <c:spPr>
        <a:solidFill>
          <a:srgbClr val="FAFD6B"/>
        </a:solidFill>
      </c:spPr>
    </c:plotArea>
    <c:legend>
      <c:legendPos val="b"/>
      <c:layout>
        <c:manualLayout>
          <c:xMode val="edge"/>
          <c:yMode val="edge"/>
          <c:x val="0.10740229705187102"/>
          <c:y val="0.87928011632569958"/>
          <c:w val="0.7832844561542362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rgbClr val="FAFD6B"/>
    </a:solidFill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SO2 – Valore limite 350 µg/m³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0.8</c:v>
                </c:pt>
                <c:pt idx="1">
                  <c:v>1.6</c:v>
                </c:pt>
                <c:pt idx="2">
                  <c:v>0.8</c:v>
                </c:pt>
                <c:pt idx="3">
                  <c:v>1.3</c:v>
                </c:pt>
                <c:pt idx="4">
                  <c:v>1.3</c:v>
                </c:pt>
                <c:pt idx="5">
                  <c:v>1</c:v>
                </c:pt>
                <c:pt idx="6">
                  <c:v>2.2999999999999998</c:v>
                </c:pt>
                <c:pt idx="7">
                  <c:v>5.6</c:v>
                </c:pt>
                <c:pt idx="8">
                  <c:v>0.4</c:v>
                </c:pt>
                <c:pt idx="9">
                  <c:v>3.4</c:v>
                </c:pt>
                <c:pt idx="10">
                  <c:v>3.8</c:v>
                </c:pt>
                <c:pt idx="11">
                  <c:v>1.1000000000000001</c:v>
                </c:pt>
                <c:pt idx="12">
                  <c:v>0.7</c:v>
                </c:pt>
                <c:pt idx="13">
                  <c:v>2.2000000000000002</c:v>
                </c:pt>
                <c:pt idx="14">
                  <c:v>1.4</c:v>
                </c:pt>
                <c:pt idx="15">
                  <c:v>2.9</c:v>
                </c:pt>
                <c:pt idx="16">
                  <c:v>1.7</c:v>
                </c:pt>
                <c:pt idx="17">
                  <c:v>5.6</c:v>
                </c:pt>
                <c:pt idx="18">
                  <c:v>2.2999999999999998</c:v>
                </c:pt>
                <c:pt idx="19">
                  <c:v>1.7</c:v>
                </c:pt>
                <c:pt idx="20">
                  <c:v>1.5</c:v>
                </c:pt>
                <c:pt idx="21">
                  <c:v>1.6</c:v>
                </c:pt>
                <c:pt idx="22">
                  <c:v>0.9</c:v>
                </c:pt>
                <c:pt idx="23">
                  <c:v>0</c:v>
                </c:pt>
                <c:pt idx="24">
                  <c:v>2.6</c:v>
                </c:pt>
                <c:pt idx="25">
                  <c:v>0.9</c:v>
                </c:pt>
                <c:pt idx="26">
                  <c:v>1.1000000000000001</c:v>
                </c:pt>
                <c:pt idx="27">
                  <c:v>1.2</c:v>
                </c:pt>
                <c:pt idx="28">
                  <c:v>2.5</c:v>
                </c:pt>
                <c:pt idx="29">
                  <c:v>2.1</c:v>
                </c:pt>
                <c:pt idx="30">
                  <c:v>1.2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5.4</c:v>
                </c:pt>
                <c:pt idx="1">
                  <c:v>6</c:v>
                </c:pt>
                <c:pt idx="2">
                  <c:v>4.4000000000000004</c:v>
                </c:pt>
                <c:pt idx="3">
                  <c:v>4.5999999999999996</c:v>
                </c:pt>
                <c:pt idx="4">
                  <c:v>5</c:v>
                </c:pt>
                <c:pt idx="5">
                  <c:v>4.7</c:v>
                </c:pt>
                <c:pt idx="6">
                  <c:v>6.3</c:v>
                </c:pt>
                <c:pt idx="7">
                  <c:v>6.6</c:v>
                </c:pt>
                <c:pt idx="8">
                  <c:v>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6.6</c:v>
                </c:pt>
                <c:pt idx="18">
                  <c:v>5.5</c:v>
                </c:pt>
                <c:pt idx="19">
                  <c:v>4.9000000000000004</c:v>
                </c:pt>
                <c:pt idx="20">
                  <c:v>3.7</c:v>
                </c:pt>
                <c:pt idx="21">
                  <c:v>6.7</c:v>
                </c:pt>
                <c:pt idx="22">
                  <c:v>4.2</c:v>
                </c:pt>
                <c:pt idx="23">
                  <c:v>2.2999999999999998</c:v>
                </c:pt>
                <c:pt idx="24">
                  <c:v>1.5</c:v>
                </c:pt>
                <c:pt idx="25">
                  <c:v>4.9000000000000004</c:v>
                </c:pt>
                <c:pt idx="26">
                  <c:v>3</c:v>
                </c:pt>
                <c:pt idx="27">
                  <c:v>9</c:v>
                </c:pt>
                <c:pt idx="28">
                  <c:v>4.4000000000000004</c:v>
                </c:pt>
                <c:pt idx="29">
                  <c:v>12.9</c:v>
                </c:pt>
                <c:pt idx="30">
                  <c:v>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30"/>
        <c:axId val="140442240"/>
        <c:axId val="165155200"/>
      </c:barChart>
      <c:catAx>
        <c:axId val="14044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155200"/>
        <c:crosses val="autoZero"/>
        <c:auto val="1"/>
        <c:lblAlgn val="ctr"/>
        <c:lblOffset val="100"/>
        <c:noMultiLvlLbl val="0"/>
      </c:catAx>
      <c:valAx>
        <c:axId val="165155200"/>
        <c:scaling>
          <c:orientation val="minMax"/>
          <c:max val="3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442240"/>
        <c:crosses val="autoZero"/>
        <c:crossBetween val="between"/>
        <c:majorUnit val="50"/>
      </c:valAx>
      <c:spPr>
        <a:solidFill>
          <a:srgbClr val="A9FBFD"/>
        </a:solidFill>
      </c:spPr>
    </c:plotArea>
    <c:legend>
      <c:legendPos val="b"/>
      <c:layout>
        <c:manualLayout>
          <c:xMode val="edge"/>
          <c:yMode val="edge"/>
          <c:x val="0.2736549246077663"/>
          <c:y val="0.86731177197891574"/>
          <c:w val="0.4374025528482932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A9FBFD"/>
    </a:solidFill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PM10 – Valore limite - 50 µg/m³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19</c:v>
                </c:pt>
                <c:pt idx="1">
                  <c:v>20</c:v>
                </c:pt>
                <c:pt idx="2">
                  <c:v>20</c:v>
                </c:pt>
                <c:pt idx="3">
                  <c:v>25</c:v>
                </c:pt>
                <c:pt idx="4">
                  <c:v>21</c:v>
                </c:pt>
                <c:pt idx="5">
                  <c:v>24</c:v>
                </c:pt>
                <c:pt idx="6">
                  <c:v>40</c:v>
                </c:pt>
                <c:pt idx="7">
                  <c:v>35</c:v>
                </c:pt>
                <c:pt idx="8">
                  <c:v>25</c:v>
                </c:pt>
                <c:pt idx="9">
                  <c:v>22</c:v>
                </c:pt>
                <c:pt idx="10">
                  <c:v>21</c:v>
                </c:pt>
                <c:pt idx="11">
                  <c:v>17</c:v>
                </c:pt>
                <c:pt idx="12">
                  <c:v>18</c:v>
                </c:pt>
                <c:pt idx="13">
                  <c:v>19</c:v>
                </c:pt>
                <c:pt idx="14">
                  <c:v>14</c:v>
                </c:pt>
                <c:pt idx="15">
                  <c:v>18</c:v>
                </c:pt>
                <c:pt idx="16">
                  <c:v>20</c:v>
                </c:pt>
                <c:pt idx="17">
                  <c:v>24</c:v>
                </c:pt>
                <c:pt idx="18">
                  <c:v>24</c:v>
                </c:pt>
                <c:pt idx="19">
                  <c:v>0</c:v>
                </c:pt>
                <c:pt idx="20">
                  <c:v>32</c:v>
                </c:pt>
                <c:pt idx="21">
                  <c:v>36</c:v>
                </c:pt>
                <c:pt idx="22">
                  <c:v>37</c:v>
                </c:pt>
                <c:pt idx="23">
                  <c:v>43</c:v>
                </c:pt>
                <c:pt idx="24">
                  <c:v>30</c:v>
                </c:pt>
                <c:pt idx="25">
                  <c:v>28</c:v>
                </c:pt>
                <c:pt idx="26">
                  <c:v>21</c:v>
                </c:pt>
                <c:pt idx="27">
                  <c:v>26</c:v>
                </c:pt>
                <c:pt idx="28">
                  <c:v>21</c:v>
                </c:pt>
                <c:pt idx="29">
                  <c:v>22</c:v>
                </c:pt>
                <c:pt idx="30">
                  <c:v>21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overlap val="100"/>
        <c:axId val="167012608"/>
        <c:axId val="167022592"/>
      </c:barChart>
      <c:catAx>
        <c:axId val="16701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022592"/>
        <c:crosses val="autoZero"/>
        <c:auto val="1"/>
        <c:lblAlgn val="ctr"/>
        <c:lblOffset val="100"/>
        <c:noMultiLvlLbl val="0"/>
      </c:catAx>
      <c:valAx>
        <c:axId val="167022592"/>
        <c:scaling>
          <c:orientation val="minMax"/>
          <c:max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012608"/>
        <c:crosses val="autoZero"/>
        <c:crossBetween val="between"/>
        <c:majorUnit val="10"/>
      </c:valAx>
      <c:spPr>
        <a:solidFill>
          <a:srgbClr val="1F497D">
            <a:lumMod val="20000"/>
            <a:lumOff val="80000"/>
          </a:srgbClr>
        </a:solidFill>
      </c:spPr>
    </c:plotArea>
    <c:legend>
      <c:legendPos val="b"/>
      <c:layout>
        <c:manualLayout>
          <c:xMode val="edge"/>
          <c:yMode val="edge"/>
          <c:x val="4.6251905307173879E-2"/>
          <c:y val="0.86731177197891574"/>
          <c:w val="0.91131808886969567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PM2.5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17</c:v>
                </c:pt>
                <c:pt idx="1">
                  <c:v>10</c:v>
                </c:pt>
                <c:pt idx="2">
                  <c:v>23</c:v>
                </c:pt>
                <c:pt idx="3">
                  <c:v>23</c:v>
                </c:pt>
                <c:pt idx="4">
                  <c:v>18</c:v>
                </c:pt>
                <c:pt idx="5">
                  <c:v>22</c:v>
                </c:pt>
                <c:pt idx="6">
                  <c:v>29</c:v>
                </c:pt>
                <c:pt idx="7">
                  <c:v>19</c:v>
                </c:pt>
                <c:pt idx="8">
                  <c:v>18</c:v>
                </c:pt>
                <c:pt idx="9">
                  <c:v>14</c:v>
                </c:pt>
                <c:pt idx="10">
                  <c:v>13</c:v>
                </c:pt>
                <c:pt idx="11">
                  <c:v>16</c:v>
                </c:pt>
                <c:pt idx="12">
                  <c:v>12</c:v>
                </c:pt>
                <c:pt idx="13">
                  <c:v>17</c:v>
                </c:pt>
                <c:pt idx="14">
                  <c:v>22</c:v>
                </c:pt>
                <c:pt idx="15">
                  <c:v>19</c:v>
                </c:pt>
                <c:pt idx="16">
                  <c:v>19</c:v>
                </c:pt>
                <c:pt idx="17">
                  <c:v>23</c:v>
                </c:pt>
                <c:pt idx="18">
                  <c:v>21</c:v>
                </c:pt>
                <c:pt idx="19">
                  <c:v>25</c:v>
                </c:pt>
                <c:pt idx="20">
                  <c:v>24</c:v>
                </c:pt>
                <c:pt idx="21">
                  <c:v>23</c:v>
                </c:pt>
                <c:pt idx="22">
                  <c:v>38</c:v>
                </c:pt>
                <c:pt idx="23">
                  <c:v>34</c:v>
                </c:pt>
                <c:pt idx="24">
                  <c:v>37</c:v>
                </c:pt>
                <c:pt idx="25">
                  <c:v>29</c:v>
                </c:pt>
                <c:pt idx="26">
                  <c:v>10</c:v>
                </c:pt>
                <c:pt idx="27">
                  <c:v>17</c:v>
                </c:pt>
                <c:pt idx="28">
                  <c:v>12</c:v>
                </c:pt>
                <c:pt idx="29">
                  <c:v>12</c:v>
                </c:pt>
                <c:pt idx="30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67037184"/>
        <c:axId val="167059456"/>
      </c:barChart>
      <c:catAx>
        <c:axId val="167037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059456"/>
        <c:crosses val="autoZero"/>
        <c:auto val="1"/>
        <c:lblAlgn val="ctr"/>
        <c:lblOffset val="100"/>
        <c:noMultiLvlLbl val="0"/>
      </c:catAx>
      <c:valAx>
        <c:axId val="16705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037184"/>
        <c:crosses val="autoZero"/>
        <c:crossBetween val="between"/>
      </c:valAx>
      <c:spPr>
        <a:solidFill>
          <a:srgbClr val="92D050"/>
        </a:solidFill>
      </c:spPr>
    </c:plotArea>
    <c:legend>
      <c:legendPos val="b"/>
      <c:layout>
        <c:manualLayout>
          <c:xMode val="edge"/>
          <c:yMode val="edge"/>
          <c:x val="5.9628553501326384E-2"/>
          <c:y val="0.86731177197891574"/>
          <c:w val="0.8941195411914996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NO2 – Valore limite 200 µg/m³   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18</c:v>
                </c:pt>
                <c:pt idx="1">
                  <c:v>22</c:v>
                </c:pt>
                <c:pt idx="2">
                  <c:v>20</c:v>
                </c:pt>
                <c:pt idx="3">
                  <c:v>20</c:v>
                </c:pt>
                <c:pt idx="4">
                  <c:v>24</c:v>
                </c:pt>
                <c:pt idx="5">
                  <c:v>22</c:v>
                </c:pt>
                <c:pt idx="6">
                  <c:v>30</c:v>
                </c:pt>
                <c:pt idx="7">
                  <c:v>36</c:v>
                </c:pt>
                <c:pt idx="8">
                  <c:v>17</c:v>
                </c:pt>
                <c:pt idx="9">
                  <c:v>11</c:v>
                </c:pt>
                <c:pt idx="10">
                  <c:v>11</c:v>
                </c:pt>
                <c:pt idx="11">
                  <c:v>13</c:v>
                </c:pt>
                <c:pt idx="12">
                  <c:v>36</c:v>
                </c:pt>
                <c:pt idx="13">
                  <c:v>30</c:v>
                </c:pt>
                <c:pt idx="14">
                  <c:v>23</c:v>
                </c:pt>
                <c:pt idx="15">
                  <c:v>34</c:v>
                </c:pt>
                <c:pt idx="16">
                  <c:v>25</c:v>
                </c:pt>
                <c:pt idx="17">
                  <c:v>17</c:v>
                </c:pt>
                <c:pt idx="18">
                  <c:v>12</c:v>
                </c:pt>
                <c:pt idx="19">
                  <c:v>15</c:v>
                </c:pt>
                <c:pt idx="20">
                  <c:v>22</c:v>
                </c:pt>
                <c:pt idx="21">
                  <c:v>28</c:v>
                </c:pt>
                <c:pt idx="22">
                  <c:v>44</c:v>
                </c:pt>
                <c:pt idx="23">
                  <c:v>36</c:v>
                </c:pt>
                <c:pt idx="24">
                  <c:v>31</c:v>
                </c:pt>
                <c:pt idx="25">
                  <c:v>27</c:v>
                </c:pt>
                <c:pt idx="26">
                  <c:v>13</c:v>
                </c:pt>
                <c:pt idx="27">
                  <c:v>14</c:v>
                </c:pt>
                <c:pt idx="28">
                  <c:v>24</c:v>
                </c:pt>
                <c:pt idx="29">
                  <c:v>32</c:v>
                </c:pt>
                <c:pt idx="30">
                  <c:v>29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041099804342251E-7"/>
                  <c:y val="6.611570247933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309598477840703E-3"/>
                  <c:y val="5.5095984902713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7.7134986225895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103700862607073E-3"/>
                  <c:y val="6.6114834819201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5041099805217758E-7"/>
                  <c:y val="7.1624910522548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7303582037918615E-3"/>
                  <c:y val="0.110192403635495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5020289489109436E-17"/>
                  <c:y val="8.2643760439036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041099805217758E-7"/>
                  <c:y val="6.611570247933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9102196752626551E-3"/>
                  <c:y val="8.2644194269104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9102196752626551E-3"/>
                  <c:y val="7.1624910522548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910069264264603E-3"/>
                  <c:y val="7.7134118565757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0082199610435515E-7"/>
                  <c:y val="8.2643760439036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5041099805217758E-7"/>
                  <c:y val="8.2643760439036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9097684422684986E-3"/>
                  <c:y val="6.6115268649270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7.7134118565757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041099805217758E-7"/>
                  <c:y val="7.7134552395826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9103700862607073E-3"/>
                  <c:y val="0.104682327932148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9102196752625851E-3"/>
                  <c:y val="7.1624910522548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9102196752626551E-3"/>
                  <c:y val="7.1625344352617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1.9103700862607073E-3"/>
                  <c:y val="4.9586776859504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1.910069264264603E-3"/>
                  <c:y val="2.7546907876184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1.5041099805217758E-7"/>
                  <c:y val="0.121211687382052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5041099805217758E-7"/>
                  <c:y val="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9102196752626551E-3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082199610435515E-7"/>
                  <c:y val="8.2644194269104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1.5041099805217758E-7"/>
                  <c:y val="6.0605192945923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9103700862607073E-3"/>
                  <c:y val="7.7134986225895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1.5041099805217758E-7"/>
                  <c:y val="6.611570247933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-1.9102196752626551E-3"/>
                  <c:y val="9.366391184573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7.1625344352617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20</c:v>
                </c:pt>
                <c:pt idx="1">
                  <c:v>15</c:v>
                </c:pt>
                <c:pt idx="2">
                  <c:v>22</c:v>
                </c:pt>
                <c:pt idx="3">
                  <c:v>17</c:v>
                </c:pt>
                <c:pt idx="4">
                  <c:v>22</c:v>
                </c:pt>
                <c:pt idx="5">
                  <c:v>22</c:v>
                </c:pt>
                <c:pt idx="6">
                  <c:v>33</c:v>
                </c:pt>
                <c:pt idx="7">
                  <c:v>32</c:v>
                </c:pt>
                <c:pt idx="8">
                  <c:v>19</c:v>
                </c:pt>
                <c:pt idx="9">
                  <c:v>24</c:v>
                </c:pt>
                <c:pt idx="10">
                  <c:v>14</c:v>
                </c:pt>
                <c:pt idx="11">
                  <c:v>14</c:v>
                </c:pt>
                <c:pt idx="12">
                  <c:v>25</c:v>
                </c:pt>
                <c:pt idx="13">
                  <c:v>18</c:v>
                </c:pt>
                <c:pt idx="14">
                  <c:v>13</c:v>
                </c:pt>
                <c:pt idx="15">
                  <c:v>18</c:v>
                </c:pt>
                <c:pt idx="16">
                  <c:v>20</c:v>
                </c:pt>
                <c:pt idx="17">
                  <c:v>28</c:v>
                </c:pt>
                <c:pt idx="18">
                  <c:v>14</c:v>
                </c:pt>
                <c:pt idx="19">
                  <c:v>14</c:v>
                </c:pt>
                <c:pt idx="20">
                  <c:v>6</c:v>
                </c:pt>
                <c:pt idx="21">
                  <c:v>0</c:v>
                </c:pt>
                <c:pt idx="22">
                  <c:v>47</c:v>
                </c:pt>
                <c:pt idx="23">
                  <c:v>35</c:v>
                </c:pt>
                <c:pt idx="24">
                  <c:v>21</c:v>
                </c:pt>
                <c:pt idx="25">
                  <c:v>20</c:v>
                </c:pt>
                <c:pt idx="26">
                  <c:v>14</c:v>
                </c:pt>
                <c:pt idx="27">
                  <c:v>18</c:v>
                </c:pt>
                <c:pt idx="28">
                  <c:v>18</c:v>
                </c:pt>
                <c:pt idx="29">
                  <c:v>25</c:v>
                </c:pt>
                <c:pt idx="30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167106048"/>
        <c:axId val="167107584"/>
      </c:barChart>
      <c:dateAx>
        <c:axId val="16710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107584"/>
        <c:crosses val="autoZero"/>
        <c:auto val="0"/>
        <c:lblOffset val="100"/>
        <c:baseTimeUnit val="days"/>
      </c:dateAx>
      <c:valAx>
        <c:axId val="167107584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106048"/>
        <c:crosses val="autoZero"/>
        <c:crossBetween val="between"/>
        <c:majorUnit val="20"/>
      </c:valAx>
      <c:spPr>
        <a:solidFill>
          <a:srgbClr val="8064A2">
            <a:lumMod val="20000"/>
            <a:lumOff val="80000"/>
          </a:srgbClr>
        </a:solidFill>
      </c:spPr>
    </c:plotArea>
    <c:legend>
      <c:legendPos val="b"/>
      <c:layout>
        <c:manualLayout>
          <c:xMode val="edge"/>
          <c:yMode val="edge"/>
          <c:x val="0.28894328753318443"/>
          <c:y val="0.8452732044858029"/>
          <c:w val="0.40300545749190103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0.05263</cdr:x>
      <cdr:y>0.33198</cdr:y>
    </cdr:from>
    <cdr:to>
      <cdr:x>0.99004</cdr:x>
      <cdr:y>0.33603</cdr:y>
    </cdr:to>
    <cdr:cxnSp macro="">
      <cdr:nvCxnSpPr>
        <cdr:cNvPr id="14" name="Connettore 1 13"/>
        <cdr:cNvCxnSpPr/>
      </cdr:nvCxnSpPr>
      <cdr:spPr>
        <a:xfrm xmlns:a="http://schemas.openxmlformats.org/drawingml/2006/main" flipV="1">
          <a:off x="352425" y="781050"/>
          <a:ext cx="6276975" cy="9526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0.66999</cdr:x>
      <cdr:y>0.08502</cdr:y>
    </cdr:from>
    <cdr:to>
      <cdr:x>0.69275</cdr:x>
      <cdr:y>0.08502</cdr:y>
    </cdr:to>
    <cdr:cxnSp macro="">
      <cdr:nvCxnSpPr>
        <cdr:cNvPr id="17" name="Connettore 1 16"/>
        <cdr:cNvCxnSpPr/>
      </cdr:nvCxnSpPr>
      <cdr:spPr>
        <a:xfrm xmlns:a="http://schemas.openxmlformats.org/drawingml/2006/main">
          <a:off x="4486275" y="200025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0.04443</cdr:x>
      <cdr:y>0.19008</cdr:y>
    </cdr:from>
    <cdr:to>
      <cdr:x>0.99322</cdr:x>
      <cdr:y>0.19008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95275" y="438150"/>
          <a:ext cx="6305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0.67934</cdr:x>
      <cdr:y>0.07438</cdr:y>
    </cdr:from>
    <cdr:to>
      <cdr:x>0.70227</cdr:x>
      <cdr:y>0.07438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14850" y="171450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0.03966</cdr:x>
      <cdr:y>0.17164</cdr:y>
    </cdr:from>
    <cdr:to>
      <cdr:x>0.99575</cdr:x>
      <cdr:y>0.17164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66700" y="438150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0.05949</cdr:x>
      <cdr:y>0.17164</cdr:y>
    </cdr:from>
    <cdr:to>
      <cdr:x>0.06374</cdr:x>
      <cdr:y>0.17537</cdr:y>
    </cdr:to>
    <cdr:cxnSp macro="">
      <cdr:nvCxnSpPr>
        <cdr:cNvPr id="6" name="Connettore 1 5"/>
        <cdr:cNvCxnSpPr/>
      </cdr:nvCxnSpPr>
      <cdr:spPr>
        <a:xfrm xmlns:a="http://schemas.openxmlformats.org/drawingml/2006/main" flipV="1">
          <a:off x="400050" y="438150"/>
          <a:ext cx="28575" cy="9525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0.66856</cdr:x>
      <cdr:y>0.0709</cdr:y>
    </cdr:from>
    <cdr:to>
      <cdr:x>0.6898</cdr:x>
      <cdr:y>0.0709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95800" y="180975"/>
          <a:ext cx="1428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0.03258</cdr:x>
      <cdr:y>0.22938</cdr:y>
    </cdr:from>
    <cdr:to>
      <cdr:x>1</cdr:x>
      <cdr:y>0.22938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19075" y="581025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0.67074</cdr:x>
      <cdr:y>0.07521</cdr:y>
    </cdr:from>
    <cdr:to>
      <cdr:x>0.69941</cdr:x>
      <cdr:y>0.07521</cdr:y>
    </cdr:to>
    <cdr:cxnSp macro="">
      <cdr:nvCxnSpPr>
        <cdr:cNvPr id="8" name="Connettore 1 7"/>
        <cdr:cNvCxnSpPr/>
      </cdr:nvCxnSpPr>
      <cdr:spPr>
        <a:xfrm xmlns:a="http://schemas.openxmlformats.org/drawingml/2006/main">
          <a:off x="4457700" y="190500"/>
          <a:ext cx="1905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0.02723</cdr:x>
      <cdr:y>0.16546</cdr:y>
    </cdr:from>
    <cdr:to>
      <cdr:x>1</cdr:x>
      <cdr:y>0.16922</cdr:y>
    </cdr:to>
    <cdr:cxnSp macro="">
      <cdr:nvCxnSpPr>
        <cdr:cNvPr id="2" name="Connettore 1 1"/>
        <cdr:cNvCxnSpPr/>
      </cdr:nvCxnSpPr>
      <cdr:spPr>
        <a:xfrm xmlns:a="http://schemas.openxmlformats.org/drawingml/2006/main" flipV="1">
          <a:off x="183515" y="419100"/>
          <a:ext cx="646493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0.66358</cdr:x>
      <cdr:y>0.07145</cdr:y>
    </cdr:from>
    <cdr:to>
      <cdr:x>0.68938</cdr:x>
      <cdr:y>0.07145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10075" y="180975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0.04443</cdr:x>
      <cdr:y>0.19008</cdr:y>
    </cdr:from>
    <cdr:to>
      <cdr:x>0.99322</cdr:x>
      <cdr:y>0.19008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95275" y="438150"/>
          <a:ext cx="6305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0.67934</cdr:x>
      <cdr:y>0.07438</cdr:y>
    </cdr:from>
    <cdr:to>
      <cdr:x>0.70227</cdr:x>
      <cdr:y>0.07438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14850" y="171450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0.02866</cdr:x>
      <cdr:y>0.19421</cdr:y>
    </cdr:from>
    <cdr:to>
      <cdr:x>0.98892</cdr:x>
      <cdr:y>0.19422</cdr:y>
    </cdr:to>
    <cdr:cxnSp macro="">
      <cdr:nvCxnSpPr>
        <cdr:cNvPr id="3" name="Connettore 1 2"/>
        <cdr:cNvCxnSpPr/>
      </cdr:nvCxnSpPr>
      <cdr:spPr>
        <a:xfrm xmlns:a="http://schemas.openxmlformats.org/drawingml/2006/main" flipV="1">
          <a:off x="190500" y="447675"/>
          <a:ext cx="6381750" cy="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0.68364</cdr:x>
      <cdr:y>0.07851</cdr:y>
    </cdr:from>
    <cdr:to>
      <cdr:x>0.70944</cdr:x>
      <cdr:y>0.07851</cdr:y>
    </cdr:to>
    <cdr:cxnSp macro="">
      <cdr:nvCxnSpPr>
        <cdr:cNvPr id="11" name="Connettore 1 10"/>
        <cdr:cNvCxnSpPr/>
      </cdr:nvCxnSpPr>
      <cdr:spPr>
        <a:xfrm xmlns:a="http://schemas.openxmlformats.org/drawingml/2006/main">
          <a:off x="4543425" y="180975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0.03401</cdr:x>
      <cdr:y>0.18595</cdr:y>
    </cdr:from>
    <cdr:to>
      <cdr:x>1</cdr:x>
      <cdr:y>0.19421</cdr:y>
    </cdr:to>
    <cdr:cxnSp macro="">
      <cdr:nvCxnSpPr>
        <cdr:cNvPr id="3" name="Connettore 1 2"/>
        <cdr:cNvCxnSpPr/>
      </cdr:nvCxnSpPr>
      <cdr:spPr>
        <a:xfrm xmlns:a="http://schemas.openxmlformats.org/drawingml/2006/main" flipV="1">
          <a:off x="304800" y="428625"/>
          <a:ext cx="6419850" cy="190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0.68269</cdr:x>
      <cdr:y>0.09642</cdr:y>
    </cdr:from>
    <cdr:to>
      <cdr:x>0.70848</cdr:x>
      <cdr:y>0.09642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37075" y="222250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0.03258</cdr:x>
      <cdr:y>0.19421</cdr:y>
    </cdr:from>
    <cdr:to>
      <cdr:x>0.99322</cdr:x>
      <cdr:y>0.19835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16535" y="447675"/>
          <a:ext cx="6384290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0.67122</cdr:x>
      <cdr:y>0.09642</cdr:y>
    </cdr:from>
    <cdr:to>
      <cdr:x>0.69702</cdr:x>
      <cdr:y>0.09642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60875" y="222250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0.02723</cdr:x>
      <cdr:y>0.16546</cdr:y>
    </cdr:from>
    <cdr:to>
      <cdr:x>1</cdr:x>
      <cdr:y>0.16922</cdr:y>
    </cdr:to>
    <cdr:cxnSp macro="">
      <cdr:nvCxnSpPr>
        <cdr:cNvPr id="2" name="Connettore 1 1"/>
        <cdr:cNvCxnSpPr/>
      </cdr:nvCxnSpPr>
      <cdr:spPr>
        <a:xfrm xmlns:a="http://schemas.openxmlformats.org/drawingml/2006/main" flipV="1">
          <a:off x="183515" y="419100"/>
          <a:ext cx="646493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0.66358</cdr:x>
      <cdr:y>0.07145</cdr:y>
    </cdr:from>
    <cdr:to>
      <cdr:x>0.68938</cdr:x>
      <cdr:y>0.07145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10075" y="180975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1752D-FDE7-4345-A642-B514210A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standard</cp:lastModifiedBy>
  <cp:revision>34</cp:revision>
  <dcterms:created xsi:type="dcterms:W3CDTF">2012-11-20T11:27:00Z</dcterms:created>
  <dcterms:modified xsi:type="dcterms:W3CDTF">2013-01-28T09:54:00Z</dcterms:modified>
</cp:coreProperties>
</file>