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charts/chart11.xml" ContentType="application/vnd.openxmlformats-officedocument.drawingml.chart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drawings/drawing10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F6" w:rsidRDefault="002370F6" w:rsidP="002370F6">
      <w:pPr>
        <w:keepNext/>
        <w:jc w:val="center"/>
        <w:rPr>
          <w:b/>
          <w:u w:val="single"/>
        </w:rPr>
      </w:pPr>
    </w:p>
    <w:p w:rsidR="00713674" w:rsidRDefault="00713674" w:rsidP="002370F6">
      <w:pPr>
        <w:keepNext/>
        <w:jc w:val="center"/>
        <w:rPr>
          <w:b/>
          <w:u w:val="single"/>
        </w:rPr>
      </w:pPr>
      <w:r w:rsidRPr="00983266">
        <w:rPr>
          <w:b/>
          <w:u w:val="single"/>
        </w:rPr>
        <w:t>MONITORAGGIO INQUINAMENTO DELL’</w:t>
      </w:r>
      <w:r w:rsidR="00983266" w:rsidRPr="00983266">
        <w:rPr>
          <w:b/>
          <w:u w:val="single"/>
        </w:rPr>
        <w:t xml:space="preserve">ARIA RELATIVO </w:t>
      </w:r>
      <w:r w:rsidR="00E025D7">
        <w:rPr>
          <w:b/>
          <w:u w:val="single"/>
        </w:rPr>
        <w:t>A GENNAIO</w:t>
      </w:r>
      <w:r w:rsidRPr="00983266">
        <w:rPr>
          <w:b/>
          <w:u w:val="single"/>
        </w:rPr>
        <w:t xml:space="preserve"> 2012</w:t>
      </w:r>
    </w:p>
    <w:p w:rsidR="00830EC6" w:rsidRPr="002370F6" w:rsidRDefault="00830EC6" w:rsidP="002047D6">
      <w:pPr>
        <w:keepNext/>
        <w:rPr>
          <w:b/>
          <w:u w:val="single"/>
        </w:rPr>
      </w:pPr>
    </w:p>
    <w:p w:rsidR="00830EC6" w:rsidRDefault="00C51DBA" w:rsidP="00830EC6">
      <w:pPr>
        <w:pStyle w:val="Didascalia"/>
        <w:keepNext/>
      </w:pPr>
      <w:r w:rsidRPr="00004973">
        <w:rPr>
          <w:noProof/>
          <w:color w:val="000000" w:themeColor="text1"/>
        </w:rPr>
        <w:drawing>
          <wp:inline distT="0" distB="0" distL="0" distR="0" wp14:anchorId="01FEF786" wp14:editId="2D6A7C1D">
            <wp:extent cx="6696075" cy="2352675"/>
            <wp:effectExtent l="0" t="0" r="9525" b="9525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17424" w:rsidRPr="00B17424" w:rsidRDefault="00B17424" w:rsidP="00B17424"/>
    <w:p w:rsidR="00F07EF2" w:rsidRDefault="00F07EF2" w:rsidP="00F07EF2">
      <w:r w:rsidRPr="00F07EF2">
        <w:rPr>
          <w:noProof/>
        </w:rPr>
        <w:drawing>
          <wp:inline distT="0" distB="0" distL="0" distR="0">
            <wp:extent cx="6696075" cy="2400300"/>
            <wp:effectExtent l="0" t="0" r="9525" b="19050"/>
            <wp:docPr id="5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07EF2" w:rsidRPr="00F07EF2" w:rsidRDefault="0014486E" w:rsidP="00F07EF2">
      <w:r>
        <w:tab/>
      </w:r>
      <w:r>
        <w:tab/>
      </w:r>
      <w:r w:rsidR="00E94BDB">
        <w:t xml:space="preserve"> </w:t>
      </w:r>
      <w:r w:rsidR="009A6A23" w:rsidRPr="00004973">
        <w:rPr>
          <w:b/>
          <w:noProof/>
        </w:rPr>
        <w:drawing>
          <wp:inline distT="0" distB="0" distL="0" distR="0" wp14:anchorId="04B58B6C" wp14:editId="43B25F2A">
            <wp:extent cx="6724650" cy="25527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07EF2" w:rsidRDefault="00F07EF2" w:rsidP="00F07EF2"/>
    <w:p w:rsidR="00695CD6" w:rsidRDefault="00695CD6" w:rsidP="00F07EF2"/>
    <w:p w:rsidR="00695CD6" w:rsidRDefault="00713674" w:rsidP="00F07EF2">
      <w:r>
        <w:rPr>
          <w:b/>
        </w:rPr>
        <w:lastRenderedPageBreak/>
        <w:t xml:space="preserve">        </w:t>
      </w:r>
      <w:r w:rsidR="00907556">
        <w:rPr>
          <w:b/>
        </w:rPr>
        <w:t xml:space="preserve">       </w:t>
      </w:r>
      <w:r>
        <w:rPr>
          <w:b/>
        </w:rPr>
        <w:t xml:space="preserve">  </w:t>
      </w:r>
      <w:r w:rsidR="00907556">
        <w:rPr>
          <w:b/>
        </w:rPr>
        <w:t xml:space="preserve"> </w:t>
      </w:r>
      <w:r w:rsidR="00907556" w:rsidRPr="00612A6E">
        <w:rPr>
          <w:b/>
          <w:noProof/>
          <w:sz w:val="16"/>
          <w:szCs w:val="16"/>
        </w:rPr>
        <w:drawing>
          <wp:inline distT="0" distB="0" distL="0" distR="0" wp14:anchorId="359B12BE" wp14:editId="192AC7E3">
            <wp:extent cx="6645910" cy="2533576"/>
            <wp:effectExtent l="0" t="0" r="21590" b="19685"/>
            <wp:docPr id="4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7556" w:rsidRDefault="00907556" w:rsidP="00F07EF2"/>
    <w:p w:rsidR="00907556" w:rsidRDefault="00907556" w:rsidP="00F07EF2">
      <w:r>
        <w:rPr>
          <w:b/>
        </w:rPr>
        <w:t xml:space="preserve">              </w:t>
      </w:r>
      <w:r w:rsidRPr="00907556">
        <w:rPr>
          <w:b/>
        </w:rPr>
        <w:t xml:space="preserve">      </w:t>
      </w:r>
      <w:r w:rsidRPr="00907556">
        <w:rPr>
          <w:noProof/>
        </w:rPr>
        <w:drawing>
          <wp:inline distT="0" distB="0" distL="0" distR="0">
            <wp:extent cx="6645910" cy="2533576"/>
            <wp:effectExtent l="0" t="0" r="21590" b="19685"/>
            <wp:docPr id="6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3674" w:rsidRDefault="00713674" w:rsidP="00F07EF2"/>
    <w:p w:rsidR="00C90B14" w:rsidRDefault="00C90B14" w:rsidP="00F07EF2"/>
    <w:p w:rsidR="00713674" w:rsidRDefault="00713674" w:rsidP="00F07EF2">
      <w:r w:rsidRPr="002846FA">
        <w:rPr>
          <w:b/>
          <w:noProof/>
          <w:sz w:val="16"/>
          <w:szCs w:val="16"/>
        </w:rPr>
        <w:drawing>
          <wp:inline distT="0" distB="0" distL="0" distR="0" wp14:anchorId="5817DCF5" wp14:editId="26848B4E">
            <wp:extent cx="6645910" cy="2305050"/>
            <wp:effectExtent l="0" t="0" r="21590" b="19050"/>
            <wp:docPr id="7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4171A" w:rsidRDefault="00D4171A" w:rsidP="00D4171A">
      <w:pPr>
        <w:jc w:val="right"/>
        <w:rPr>
          <w:sz w:val="16"/>
          <w:szCs w:val="16"/>
        </w:rPr>
      </w:pPr>
    </w:p>
    <w:p w:rsidR="00F43F25" w:rsidRPr="00D4171A" w:rsidRDefault="00D4171A" w:rsidP="00D4171A">
      <w:pPr>
        <w:jc w:val="right"/>
        <w:rPr>
          <w:sz w:val="16"/>
          <w:szCs w:val="16"/>
        </w:rPr>
      </w:pPr>
      <w:r w:rsidRPr="00D833B5">
        <w:rPr>
          <w:sz w:val="16"/>
          <w:szCs w:val="16"/>
        </w:rPr>
        <w:t>Fonte: http://www.arpa.puglia.it/web/guest/qariainq</w:t>
      </w:r>
      <w:bookmarkStart w:id="0" w:name="_GoBack"/>
      <w:bookmarkEnd w:id="0"/>
    </w:p>
    <w:p w:rsidR="00F43F25" w:rsidRDefault="00F43F25" w:rsidP="008001EF">
      <w:pPr>
        <w:jc w:val="center"/>
        <w:rPr>
          <w:b/>
          <w:u w:val="single"/>
        </w:rPr>
      </w:pPr>
    </w:p>
    <w:p w:rsidR="008001EF" w:rsidRDefault="008001EF" w:rsidP="008001EF">
      <w:pPr>
        <w:jc w:val="center"/>
        <w:rPr>
          <w:b/>
          <w:u w:val="single"/>
        </w:rPr>
      </w:pPr>
      <w:r w:rsidRPr="00983266">
        <w:rPr>
          <w:b/>
          <w:u w:val="single"/>
        </w:rPr>
        <w:t xml:space="preserve">MONITORAGGIO DELL’INQUINAMENTO DELL’ARIA RELATIVO A </w:t>
      </w:r>
      <w:r w:rsidR="00A233D2">
        <w:rPr>
          <w:b/>
          <w:u w:val="single"/>
        </w:rPr>
        <w:t>FEBBRAIO</w:t>
      </w:r>
      <w:r w:rsidRPr="00983266">
        <w:rPr>
          <w:b/>
          <w:u w:val="single"/>
        </w:rPr>
        <w:t xml:space="preserve"> 2012</w:t>
      </w:r>
    </w:p>
    <w:p w:rsidR="00393745" w:rsidRPr="00983266" w:rsidRDefault="00393745" w:rsidP="008001EF">
      <w:pPr>
        <w:jc w:val="center"/>
        <w:rPr>
          <w:b/>
          <w:u w:val="single"/>
        </w:rPr>
      </w:pPr>
    </w:p>
    <w:p w:rsidR="00983266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8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83266" w:rsidRDefault="00983266" w:rsidP="00983266">
      <w:pPr>
        <w:rPr>
          <w:b/>
        </w:rPr>
      </w:pPr>
    </w:p>
    <w:p w:rsidR="00983266" w:rsidRDefault="00983266" w:rsidP="00983266">
      <w:pPr>
        <w:rPr>
          <w:b/>
        </w:rPr>
      </w:pPr>
      <w:r>
        <w:rPr>
          <w:b/>
        </w:rPr>
        <w:t xml:space="preserve">                  </w:t>
      </w:r>
    </w:p>
    <w:p w:rsidR="00983266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9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33B5" w:rsidRDefault="00983266" w:rsidP="00983266">
      <w:pPr>
        <w:rPr>
          <w:b/>
        </w:rPr>
      </w:pPr>
      <w:r>
        <w:rPr>
          <w:b/>
        </w:rPr>
        <w:t xml:space="preserve">                    </w:t>
      </w:r>
    </w:p>
    <w:p w:rsidR="00983266" w:rsidRDefault="00D833B5" w:rsidP="00983266">
      <w:pPr>
        <w:rPr>
          <w:b/>
        </w:rPr>
      </w:pPr>
      <w:r>
        <w:rPr>
          <w:b/>
        </w:rPr>
        <w:t xml:space="preserve">                    </w:t>
      </w:r>
      <w:r w:rsidR="00983266">
        <w:rPr>
          <w:b/>
        </w:rPr>
        <w:t xml:space="preserve">  </w:t>
      </w:r>
    </w:p>
    <w:p w:rsidR="00D833B5" w:rsidRDefault="00983266" w:rsidP="00983266">
      <w:pPr>
        <w:rPr>
          <w:b/>
        </w:rPr>
      </w:pPr>
      <w:r w:rsidRPr="00983266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0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  <w:r>
        <w:rPr>
          <w:b/>
        </w:rPr>
        <w:lastRenderedPageBreak/>
        <w:t xml:space="preserve">                    </w:t>
      </w:r>
    </w:p>
    <w:p w:rsidR="007E03CF" w:rsidRDefault="007E03CF" w:rsidP="00983266">
      <w:pPr>
        <w:rPr>
          <w:b/>
        </w:rPr>
      </w:pPr>
      <w:r w:rsidRPr="007E03CF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</w:p>
    <w:p w:rsidR="007E03CF" w:rsidRDefault="007E03CF" w:rsidP="00983266">
      <w:pPr>
        <w:rPr>
          <w:b/>
        </w:rPr>
      </w:pPr>
      <w:r>
        <w:rPr>
          <w:b/>
        </w:rPr>
        <w:t xml:space="preserve">                </w:t>
      </w:r>
    </w:p>
    <w:p w:rsidR="007E03CF" w:rsidRDefault="007E03CF" w:rsidP="00983266">
      <w:pPr>
        <w:rPr>
          <w:b/>
        </w:rPr>
      </w:pPr>
      <w:r w:rsidRPr="007E03CF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E03CF" w:rsidRDefault="007E03CF" w:rsidP="00983266">
      <w:pPr>
        <w:rPr>
          <w:b/>
        </w:rPr>
      </w:pPr>
    </w:p>
    <w:p w:rsidR="007E03CF" w:rsidRDefault="007E03CF" w:rsidP="00983266">
      <w:pPr>
        <w:rPr>
          <w:b/>
        </w:rPr>
      </w:pPr>
      <w:r>
        <w:rPr>
          <w:b/>
        </w:rPr>
        <w:t xml:space="preserve">                          </w:t>
      </w:r>
    </w:p>
    <w:p w:rsidR="00D833B5" w:rsidRDefault="007E03CF" w:rsidP="00983266">
      <w:pPr>
        <w:rPr>
          <w:b/>
        </w:rPr>
      </w:pPr>
      <w:r w:rsidRPr="007E03CF">
        <w:rPr>
          <w:b/>
          <w:noProof/>
        </w:rPr>
        <w:drawing>
          <wp:inline distT="0" distB="0" distL="0" distR="0">
            <wp:extent cx="6645910" cy="2305050"/>
            <wp:effectExtent l="0" t="0" r="21590" b="19050"/>
            <wp:docPr id="13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05518" w:rsidRDefault="00F05518" w:rsidP="00983266">
      <w:pPr>
        <w:rPr>
          <w:b/>
        </w:rPr>
      </w:pPr>
    </w:p>
    <w:p w:rsidR="007E03CF" w:rsidRPr="00D833B5" w:rsidRDefault="007E03CF" w:rsidP="00D833B5">
      <w:pPr>
        <w:jc w:val="right"/>
        <w:rPr>
          <w:sz w:val="16"/>
          <w:szCs w:val="16"/>
        </w:rPr>
      </w:pPr>
      <w:r w:rsidRPr="00D833B5">
        <w:rPr>
          <w:sz w:val="16"/>
          <w:szCs w:val="16"/>
        </w:rPr>
        <w:t>Fonte:</w:t>
      </w:r>
      <w:r w:rsidR="00D833B5" w:rsidRPr="00D833B5">
        <w:rPr>
          <w:sz w:val="16"/>
          <w:szCs w:val="16"/>
        </w:rPr>
        <w:t xml:space="preserve"> http://www.arpa.puglia.it/web/guest/qariainq</w:t>
      </w:r>
    </w:p>
    <w:sectPr w:rsidR="007E03CF" w:rsidRPr="00D833B5" w:rsidSect="00144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0C" w:rsidRDefault="00B5390C" w:rsidP="00C51DBA">
      <w:pPr>
        <w:spacing w:after="0" w:line="240" w:lineRule="auto"/>
      </w:pPr>
      <w:r>
        <w:separator/>
      </w:r>
    </w:p>
  </w:endnote>
  <w:endnote w:type="continuationSeparator" w:id="0">
    <w:p w:rsidR="00B5390C" w:rsidRDefault="00B5390C" w:rsidP="00C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0C" w:rsidRDefault="00B5390C" w:rsidP="00C51DBA">
      <w:pPr>
        <w:spacing w:after="0" w:line="240" w:lineRule="auto"/>
      </w:pPr>
      <w:r>
        <w:separator/>
      </w:r>
    </w:p>
  </w:footnote>
  <w:footnote w:type="continuationSeparator" w:id="0">
    <w:p w:rsidR="00B5390C" w:rsidRDefault="00B5390C" w:rsidP="00C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A9"/>
    <w:rsid w:val="00004973"/>
    <w:rsid w:val="0002053F"/>
    <w:rsid w:val="000855AB"/>
    <w:rsid w:val="000A7CF3"/>
    <w:rsid w:val="000A7F2D"/>
    <w:rsid w:val="00103911"/>
    <w:rsid w:val="0014486E"/>
    <w:rsid w:val="00150A0B"/>
    <w:rsid w:val="002047D6"/>
    <w:rsid w:val="00215CFE"/>
    <w:rsid w:val="002370F6"/>
    <w:rsid w:val="0027175E"/>
    <w:rsid w:val="002846FA"/>
    <w:rsid w:val="002A0E08"/>
    <w:rsid w:val="002A2CB8"/>
    <w:rsid w:val="002B455F"/>
    <w:rsid w:val="002C37F9"/>
    <w:rsid w:val="0031233C"/>
    <w:rsid w:val="00327979"/>
    <w:rsid w:val="003313C4"/>
    <w:rsid w:val="00393745"/>
    <w:rsid w:val="003A608E"/>
    <w:rsid w:val="003E07C2"/>
    <w:rsid w:val="00455B46"/>
    <w:rsid w:val="00487066"/>
    <w:rsid w:val="00491EE7"/>
    <w:rsid w:val="00492CA3"/>
    <w:rsid w:val="004B549C"/>
    <w:rsid w:val="004C0281"/>
    <w:rsid w:val="005A26A7"/>
    <w:rsid w:val="005B237C"/>
    <w:rsid w:val="00612A6E"/>
    <w:rsid w:val="006161DE"/>
    <w:rsid w:val="0067659C"/>
    <w:rsid w:val="00695CD6"/>
    <w:rsid w:val="006A06A9"/>
    <w:rsid w:val="00713674"/>
    <w:rsid w:val="007771DD"/>
    <w:rsid w:val="00796898"/>
    <w:rsid w:val="007B3DA2"/>
    <w:rsid w:val="007E03CF"/>
    <w:rsid w:val="008001EF"/>
    <w:rsid w:val="00817604"/>
    <w:rsid w:val="008219BC"/>
    <w:rsid w:val="00830EC6"/>
    <w:rsid w:val="00831396"/>
    <w:rsid w:val="00857FC0"/>
    <w:rsid w:val="00907556"/>
    <w:rsid w:val="00914B52"/>
    <w:rsid w:val="0094341C"/>
    <w:rsid w:val="00957307"/>
    <w:rsid w:val="00972ECB"/>
    <w:rsid w:val="00983266"/>
    <w:rsid w:val="009A6A23"/>
    <w:rsid w:val="009C7049"/>
    <w:rsid w:val="009D3FBC"/>
    <w:rsid w:val="00A13F8A"/>
    <w:rsid w:val="00A1509E"/>
    <w:rsid w:val="00A233D2"/>
    <w:rsid w:val="00A645EF"/>
    <w:rsid w:val="00B17424"/>
    <w:rsid w:val="00B5390C"/>
    <w:rsid w:val="00B75BB8"/>
    <w:rsid w:val="00C131B0"/>
    <w:rsid w:val="00C51A66"/>
    <w:rsid w:val="00C51DBA"/>
    <w:rsid w:val="00C56AF6"/>
    <w:rsid w:val="00C90B14"/>
    <w:rsid w:val="00CB5D7A"/>
    <w:rsid w:val="00D21E13"/>
    <w:rsid w:val="00D4171A"/>
    <w:rsid w:val="00D62E4B"/>
    <w:rsid w:val="00D66D5E"/>
    <w:rsid w:val="00D74852"/>
    <w:rsid w:val="00D833B5"/>
    <w:rsid w:val="00D934A9"/>
    <w:rsid w:val="00DA1C83"/>
    <w:rsid w:val="00E025D7"/>
    <w:rsid w:val="00E06BCA"/>
    <w:rsid w:val="00E10E6A"/>
    <w:rsid w:val="00E30EC2"/>
    <w:rsid w:val="00E362DA"/>
    <w:rsid w:val="00E94224"/>
    <w:rsid w:val="00E94BDB"/>
    <w:rsid w:val="00EE4A0C"/>
    <w:rsid w:val="00F05518"/>
    <w:rsid w:val="00F07EF2"/>
    <w:rsid w:val="00F43F25"/>
    <w:rsid w:val="00F84D8C"/>
    <w:rsid w:val="00F85F9D"/>
    <w:rsid w:val="00FA3EF7"/>
    <w:rsid w:val="00FA7FF1"/>
    <w:rsid w:val="00FC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4A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C51DB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1DBA"/>
  </w:style>
  <w:style w:type="paragraph" w:styleId="Pidipagina">
    <w:name w:val="footer"/>
    <w:basedOn w:val="Normale"/>
    <w:link w:val="PidipaginaCarattere"/>
    <w:uiPriority w:val="99"/>
    <w:semiHidden/>
    <w:unhideWhenUsed/>
    <w:rsid w:val="00C51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1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Foglio_di_lavoro_di_Microsoft_Excel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Foglio_di_lavoro_di_Microsoft_Excel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package" Target="../embeddings/Foglio_di_lavoro_di_Microsoft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Foglio_di_lavoro_di_Microsoft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Foglio_di_lavoro_di_Microsoft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Foglio_di_lavoro_di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Foglio_di_lavoro_di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 10 - Valore limite 50µg/m³ v.l.=   </a:t>
            </a:r>
            <a:endParaRPr lang="it-IT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105658912226E-2"/>
          <c:y val="0.18417460975272829"/>
          <c:w val="0.86718964650695263"/>
          <c:h val="0.519743696005611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19</c:v>
                </c:pt>
                <c:pt idx="1">
                  <c:v>38</c:v>
                </c:pt>
                <c:pt idx="2">
                  <c:v>18</c:v>
                </c:pt>
                <c:pt idx="3">
                  <c:v>22</c:v>
                </c:pt>
                <c:pt idx="4">
                  <c:v>8</c:v>
                </c:pt>
                <c:pt idx="5">
                  <c:v>3</c:v>
                </c:pt>
                <c:pt idx="6">
                  <c:v>9</c:v>
                </c:pt>
                <c:pt idx="7">
                  <c:v>10</c:v>
                </c:pt>
                <c:pt idx="8">
                  <c:v>18</c:v>
                </c:pt>
                <c:pt idx="9">
                  <c:v>19</c:v>
                </c:pt>
                <c:pt idx="10">
                  <c:v>14</c:v>
                </c:pt>
                <c:pt idx="11">
                  <c:v>23</c:v>
                </c:pt>
                <c:pt idx="12">
                  <c:v>38</c:v>
                </c:pt>
                <c:pt idx="13">
                  <c:v>15</c:v>
                </c:pt>
                <c:pt idx="14">
                  <c:v>13</c:v>
                </c:pt>
                <c:pt idx="15">
                  <c:v>24</c:v>
                </c:pt>
                <c:pt idx="16">
                  <c:v>34</c:v>
                </c:pt>
                <c:pt idx="17">
                  <c:v>28</c:v>
                </c:pt>
                <c:pt idx="18">
                  <c:v>25</c:v>
                </c:pt>
                <c:pt idx="19">
                  <c:v>11</c:v>
                </c:pt>
                <c:pt idx="20">
                  <c:v>12</c:v>
                </c:pt>
                <c:pt idx="21">
                  <c:v>21</c:v>
                </c:pt>
                <c:pt idx="22">
                  <c:v>16</c:v>
                </c:pt>
                <c:pt idx="23">
                  <c:v>29</c:v>
                </c:pt>
                <c:pt idx="24">
                  <c:v>5</c:v>
                </c:pt>
                <c:pt idx="25">
                  <c:v>12</c:v>
                </c:pt>
                <c:pt idx="26">
                  <c:v>33</c:v>
                </c:pt>
                <c:pt idx="27">
                  <c:v>34</c:v>
                </c:pt>
                <c:pt idx="28">
                  <c:v>26</c:v>
                </c:pt>
                <c:pt idx="29">
                  <c:v>18</c:v>
                </c:pt>
                <c:pt idx="30">
                  <c:v>32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83"/>
        <c:axId val="165198080"/>
        <c:axId val="165199872"/>
      </c:barChart>
      <c:catAx>
        <c:axId val="16519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199872"/>
        <c:crossesAt val="0"/>
        <c:auto val="1"/>
        <c:lblAlgn val="ctr"/>
        <c:lblOffset val="100"/>
        <c:noMultiLvlLbl val="0"/>
      </c:catAx>
      <c:valAx>
        <c:axId val="165199872"/>
        <c:scaling>
          <c:orientation val="minMax"/>
          <c:max val="7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198080"/>
        <c:crossesAt val="1"/>
        <c:crossBetween val="between"/>
      </c:valAx>
      <c:spPr>
        <a:solidFill>
          <a:schemeClr val="accent1">
            <a:lumMod val="40000"/>
            <a:lumOff val="60000"/>
          </a:schemeClr>
        </a:solidFill>
      </c:spPr>
    </c:plotArea>
    <c:legend>
      <c:legendPos val="b"/>
      <c:layout>
        <c:manualLayout>
          <c:xMode val="edge"/>
          <c:yMode val="edge"/>
          <c:x val="2.1876845764123031E-2"/>
          <c:y val="0.88075658558874459"/>
          <c:w val="0.93172283763249375"/>
          <c:h val="9.7613567534827417E-2"/>
        </c:manualLayout>
      </c:layout>
      <c:overlay val="0"/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 sz="1200" b="1"/>
              <a:t>O3 – Valore limite 180 µg/m³ 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Foglio1!$B$2:$B$30</c:f>
              <c:numCache>
                <c:formatCode>General</c:formatCode>
                <c:ptCount val="29"/>
                <c:pt idx="0">
                  <c:v>76</c:v>
                </c:pt>
                <c:pt idx="1">
                  <c:v>80</c:v>
                </c:pt>
                <c:pt idx="2">
                  <c:v>90</c:v>
                </c:pt>
                <c:pt idx="3">
                  <c:v>82</c:v>
                </c:pt>
                <c:pt idx="4">
                  <c:v>78</c:v>
                </c:pt>
                <c:pt idx="5">
                  <c:v>87</c:v>
                </c:pt>
                <c:pt idx="6">
                  <c:v>77</c:v>
                </c:pt>
                <c:pt idx="7">
                  <c:v>66</c:v>
                </c:pt>
                <c:pt idx="8">
                  <c:v>77</c:v>
                </c:pt>
                <c:pt idx="9">
                  <c:v>87</c:v>
                </c:pt>
                <c:pt idx="10">
                  <c:v>92</c:v>
                </c:pt>
                <c:pt idx="11">
                  <c:v>83</c:v>
                </c:pt>
                <c:pt idx="12">
                  <c:v>91</c:v>
                </c:pt>
                <c:pt idx="13">
                  <c:v>90</c:v>
                </c:pt>
                <c:pt idx="14">
                  <c:v>105</c:v>
                </c:pt>
                <c:pt idx="15">
                  <c:v>82</c:v>
                </c:pt>
                <c:pt idx="16">
                  <c:v>85</c:v>
                </c:pt>
                <c:pt idx="17">
                  <c:v>111</c:v>
                </c:pt>
                <c:pt idx="18">
                  <c:v>102</c:v>
                </c:pt>
                <c:pt idx="19">
                  <c:v>85</c:v>
                </c:pt>
                <c:pt idx="20">
                  <c:v>85</c:v>
                </c:pt>
                <c:pt idx="21">
                  <c:v>87</c:v>
                </c:pt>
                <c:pt idx="22">
                  <c:v>0</c:v>
                </c:pt>
                <c:pt idx="23">
                  <c:v>98</c:v>
                </c:pt>
                <c:pt idx="24">
                  <c:v>97</c:v>
                </c:pt>
                <c:pt idx="25">
                  <c:v>112</c:v>
                </c:pt>
                <c:pt idx="26">
                  <c:v>86</c:v>
                </c:pt>
                <c:pt idx="27">
                  <c:v>82</c:v>
                </c:pt>
                <c:pt idx="28">
                  <c:v>88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2672176308539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7306590257879654E-3"/>
                  <c:y val="0.14325068870523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7306590257879654E-3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102196752626551E-3"/>
                  <c:y val="0.1597796143250688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54269972451790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6408787010506206E-3"/>
                  <c:y val="0.209366391184573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0.13223140495867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5041099808719786E-7"/>
                  <c:y val="0.176308106114834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0.19283746556473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203856749311294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8204393505253103E-3"/>
                  <c:y val="0.10468319559228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9102196752626551E-3"/>
                  <c:y val="0.12121212121212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0.17630853994490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1.9102196752626551E-3"/>
                  <c:y val="0.13774104683195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3.8204393505253805E-3"/>
                  <c:y val="0.10468319559228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0040578978218872E-17"/>
                  <c:y val="0.148760330578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21212121212121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707988980716253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9102196752626551E-3"/>
                  <c:y val="0.231404958677685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3.8204393505253103E-3"/>
                  <c:y val="0.12672176308539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3.8204393505253103E-3"/>
                  <c:y val="0.17630853994490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9102196752626551E-3"/>
                  <c:y val="0.17630853994490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9102196752626551E-3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0.21487603305785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1.9102196752626551E-3"/>
                  <c:y val="0.148760330578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0.148760330578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0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3.8204393505253103E-3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3.8204393505253103E-3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Foglio1!$C$2:$C$30</c:f>
              <c:numCache>
                <c:formatCode>General</c:formatCode>
                <c:ptCount val="29"/>
                <c:pt idx="0">
                  <c:v>79</c:v>
                </c:pt>
                <c:pt idx="1">
                  <c:v>78</c:v>
                </c:pt>
                <c:pt idx="2">
                  <c:v>110</c:v>
                </c:pt>
                <c:pt idx="3">
                  <c:v>95</c:v>
                </c:pt>
                <c:pt idx="4">
                  <c:v>85</c:v>
                </c:pt>
                <c:pt idx="5">
                  <c:v>83</c:v>
                </c:pt>
                <c:pt idx="6">
                  <c:v>84</c:v>
                </c:pt>
                <c:pt idx="7">
                  <c:v>74</c:v>
                </c:pt>
                <c:pt idx="8">
                  <c:v>82</c:v>
                </c:pt>
                <c:pt idx="9">
                  <c:v>103</c:v>
                </c:pt>
                <c:pt idx="10">
                  <c:v>102</c:v>
                </c:pt>
                <c:pt idx="11">
                  <c:v>95</c:v>
                </c:pt>
                <c:pt idx="12">
                  <c:v>96</c:v>
                </c:pt>
                <c:pt idx="13">
                  <c:v>92</c:v>
                </c:pt>
                <c:pt idx="14">
                  <c:v>121</c:v>
                </c:pt>
                <c:pt idx="15">
                  <c:v>94</c:v>
                </c:pt>
                <c:pt idx="16">
                  <c:v>96</c:v>
                </c:pt>
                <c:pt idx="17">
                  <c:v>115</c:v>
                </c:pt>
                <c:pt idx="18">
                  <c:v>112</c:v>
                </c:pt>
                <c:pt idx="19">
                  <c:v>96</c:v>
                </c:pt>
                <c:pt idx="20">
                  <c:v>97</c:v>
                </c:pt>
                <c:pt idx="21">
                  <c:v>94</c:v>
                </c:pt>
                <c:pt idx="22">
                  <c:v>81</c:v>
                </c:pt>
                <c:pt idx="23">
                  <c:v>108</c:v>
                </c:pt>
                <c:pt idx="24">
                  <c:v>113</c:v>
                </c:pt>
                <c:pt idx="25">
                  <c:v>129</c:v>
                </c:pt>
                <c:pt idx="26">
                  <c:v>100</c:v>
                </c:pt>
                <c:pt idx="27">
                  <c:v>94</c:v>
                </c:pt>
                <c:pt idx="28">
                  <c:v>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6"/>
        <c:overlap val="-14"/>
        <c:axId val="166093952"/>
        <c:axId val="166095488"/>
      </c:barChart>
      <c:catAx>
        <c:axId val="16609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095488"/>
        <c:crosses val="autoZero"/>
        <c:auto val="1"/>
        <c:lblAlgn val="ctr"/>
        <c:lblOffset val="100"/>
        <c:noMultiLvlLbl val="0"/>
      </c:catAx>
      <c:valAx>
        <c:axId val="166095488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093952"/>
        <c:crosses val="autoZero"/>
        <c:crossBetween val="between"/>
        <c:majorUnit val="20"/>
      </c:valAx>
      <c:spPr>
        <a:solidFill>
          <a:srgbClr val="F79646">
            <a:lumMod val="60000"/>
            <a:lumOff val="40000"/>
          </a:srgbClr>
        </a:solidFill>
      </c:spPr>
    </c:plotArea>
    <c:legend>
      <c:legendPos val="b"/>
      <c:layout>
        <c:manualLayout>
          <c:xMode val="edge"/>
          <c:yMode val="edge"/>
          <c:x val="0.33098341686841987"/>
          <c:y val="0.86731177197891574"/>
          <c:w val="0.33038936729507346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CO – Valore limite 10 mg/ m³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Foglio1!$B$2:$B$30</c:f>
              <c:numCache>
                <c:formatCode>General</c:formatCode>
                <c:ptCount val="29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Foglio1!$C$2:$C$30</c:f>
              <c:numCache>
                <c:formatCode>@</c:formatCode>
                <c:ptCount val="29"/>
                <c:pt idx="0">
                  <c:v>0.7</c:v>
                </c:pt>
                <c:pt idx="1">
                  <c:v>0.7</c:v>
                </c:pt>
                <c:pt idx="2">
                  <c:v>0.5</c:v>
                </c:pt>
                <c:pt idx="3" formatCode="General">
                  <c:v>0.5</c:v>
                </c:pt>
                <c:pt idx="4" formatCode="General">
                  <c:v>0.5</c:v>
                </c:pt>
                <c:pt idx="5" formatCode="General">
                  <c:v>0.4</c:v>
                </c:pt>
                <c:pt idx="6" formatCode="General">
                  <c:v>0.5</c:v>
                </c:pt>
                <c:pt idx="7" formatCode="General">
                  <c:v>0.5</c:v>
                </c:pt>
                <c:pt idx="8" formatCode="General">
                  <c:v>0.4</c:v>
                </c:pt>
                <c:pt idx="9" formatCode="General">
                  <c:v>0.5</c:v>
                </c:pt>
                <c:pt idx="10" formatCode="General">
                  <c:v>0.4</c:v>
                </c:pt>
                <c:pt idx="11" formatCode="General">
                  <c:v>0.5</c:v>
                </c:pt>
                <c:pt idx="12" formatCode="General">
                  <c:v>0.6</c:v>
                </c:pt>
                <c:pt idx="13" formatCode="General">
                  <c:v>0.5</c:v>
                </c:pt>
                <c:pt idx="14" formatCode="General">
                  <c:v>0.4</c:v>
                </c:pt>
                <c:pt idx="15" formatCode="General">
                  <c:v>0.5</c:v>
                </c:pt>
                <c:pt idx="16" formatCode="General">
                  <c:v>0.4</c:v>
                </c:pt>
                <c:pt idx="17" formatCode="General">
                  <c:v>0.7</c:v>
                </c:pt>
                <c:pt idx="18" formatCode="General">
                  <c:v>0.8</c:v>
                </c:pt>
                <c:pt idx="19" formatCode="General">
                  <c:v>0.5</c:v>
                </c:pt>
                <c:pt idx="20" formatCode="General">
                  <c:v>0.3</c:v>
                </c:pt>
                <c:pt idx="21" formatCode="General">
                  <c:v>0.3</c:v>
                </c:pt>
                <c:pt idx="22" formatCode="General">
                  <c:v>0.4</c:v>
                </c:pt>
                <c:pt idx="23" formatCode="General">
                  <c:v>0.4</c:v>
                </c:pt>
                <c:pt idx="24" formatCode="General">
                  <c:v>0.4</c:v>
                </c:pt>
                <c:pt idx="25" formatCode="General">
                  <c:v>0.6</c:v>
                </c:pt>
                <c:pt idx="26" formatCode="General">
                  <c:v>0.7</c:v>
                </c:pt>
                <c:pt idx="27" formatCode="General">
                  <c:v>0.3</c:v>
                </c:pt>
                <c:pt idx="28" formatCode="General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66249600"/>
        <c:axId val="166251136"/>
      </c:barChart>
      <c:catAx>
        <c:axId val="166249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251136"/>
        <c:crosses val="autoZero"/>
        <c:auto val="1"/>
        <c:lblAlgn val="ctr"/>
        <c:lblOffset val="100"/>
        <c:noMultiLvlLbl val="0"/>
      </c:catAx>
      <c:valAx>
        <c:axId val="166251136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249600"/>
        <c:crosses val="autoZero"/>
        <c:crossBetween val="between"/>
        <c:majorUnit val="1"/>
      </c:valAx>
      <c:spPr>
        <a:solidFill>
          <a:srgbClr val="FAFD6B"/>
        </a:solidFill>
      </c:spPr>
    </c:plotArea>
    <c:legend>
      <c:legendPos val="b"/>
      <c:layout>
        <c:manualLayout>
          <c:xMode val="edge"/>
          <c:yMode val="edge"/>
          <c:x val="7.4916151437500675E-2"/>
          <c:y val="0.86731177197891574"/>
          <c:w val="0.85590054635106405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FAFD6B"/>
    </a:solidFill>
  </c:sp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SO2 – Valore limite – 350 µg/m³  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Foglio1!$B$2:$B$30</c:f>
              <c:numCache>
                <c:formatCode>General</c:formatCode>
                <c:ptCount val="29"/>
                <c:pt idx="0">
                  <c:v>7.8</c:v>
                </c:pt>
                <c:pt idx="1">
                  <c:v>1.4</c:v>
                </c:pt>
                <c:pt idx="2">
                  <c:v>0.7</c:v>
                </c:pt>
                <c:pt idx="3">
                  <c:v>0</c:v>
                </c:pt>
                <c:pt idx="4">
                  <c:v>1.3</c:v>
                </c:pt>
                <c:pt idx="5">
                  <c:v>1.3</c:v>
                </c:pt>
                <c:pt idx="6">
                  <c:v>2.1</c:v>
                </c:pt>
                <c:pt idx="7">
                  <c:v>1</c:v>
                </c:pt>
                <c:pt idx="8">
                  <c:v>1.5</c:v>
                </c:pt>
                <c:pt idx="9">
                  <c:v>1.7</c:v>
                </c:pt>
                <c:pt idx="10">
                  <c:v>0.8</c:v>
                </c:pt>
                <c:pt idx="11">
                  <c:v>0.5</c:v>
                </c:pt>
                <c:pt idx="12">
                  <c:v>0.9</c:v>
                </c:pt>
                <c:pt idx="13">
                  <c:v>0.8</c:v>
                </c:pt>
                <c:pt idx="14">
                  <c:v>1.7</c:v>
                </c:pt>
                <c:pt idx="15">
                  <c:v>1.7</c:v>
                </c:pt>
                <c:pt idx="16">
                  <c:v>2.7</c:v>
                </c:pt>
                <c:pt idx="17">
                  <c:v>3.2</c:v>
                </c:pt>
                <c:pt idx="18">
                  <c:v>0.8</c:v>
                </c:pt>
                <c:pt idx="19">
                  <c:v>0.6</c:v>
                </c:pt>
                <c:pt idx="20">
                  <c:v>8.1999999999999993</c:v>
                </c:pt>
                <c:pt idx="21">
                  <c:v>0.3</c:v>
                </c:pt>
                <c:pt idx="22">
                  <c:v>0</c:v>
                </c:pt>
                <c:pt idx="23">
                  <c:v>1.1000000000000001</c:v>
                </c:pt>
                <c:pt idx="24">
                  <c:v>1.8</c:v>
                </c:pt>
                <c:pt idx="25">
                  <c:v>1.4</c:v>
                </c:pt>
                <c:pt idx="26">
                  <c:v>1.9</c:v>
                </c:pt>
                <c:pt idx="27">
                  <c:v>3.5</c:v>
                </c:pt>
                <c:pt idx="28">
                  <c:v>3.3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Foglio1!$C$2:$C$30</c:f>
              <c:numCache>
                <c:formatCode>General</c:formatCode>
                <c:ptCount val="29"/>
                <c:pt idx="0">
                  <c:v>3.5</c:v>
                </c:pt>
                <c:pt idx="1">
                  <c:v>4.0999999999999996</c:v>
                </c:pt>
                <c:pt idx="2">
                  <c:v>3.4</c:v>
                </c:pt>
                <c:pt idx="3">
                  <c:v>3.8</c:v>
                </c:pt>
                <c:pt idx="4">
                  <c:v>4.5</c:v>
                </c:pt>
                <c:pt idx="5">
                  <c:v>8.1999999999999993</c:v>
                </c:pt>
                <c:pt idx="6">
                  <c:v>12.6</c:v>
                </c:pt>
                <c:pt idx="7">
                  <c:v>4.3</c:v>
                </c:pt>
                <c:pt idx="8">
                  <c:v>4.3</c:v>
                </c:pt>
                <c:pt idx="9">
                  <c:v>4.0999999999999996</c:v>
                </c:pt>
                <c:pt idx="10">
                  <c:v>4.3</c:v>
                </c:pt>
                <c:pt idx="11">
                  <c:v>3.8</c:v>
                </c:pt>
                <c:pt idx="12">
                  <c:v>15.1</c:v>
                </c:pt>
                <c:pt idx="13">
                  <c:v>5.3</c:v>
                </c:pt>
                <c:pt idx="14">
                  <c:v>5.6</c:v>
                </c:pt>
                <c:pt idx="15">
                  <c:v>6.9</c:v>
                </c:pt>
                <c:pt idx="16">
                  <c:v>6.2</c:v>
                </c:pt>
                <c:pt idx="17">
                  <c:v>6.4</c:v>
                </c:pt>
                <c:pt idx="18">
                  <c:v>3.6</c:v>
                </c:pt>
                <c:pt idx="19">
                  <c:v>2.2999999999999998</c:v>
                </c:pt>
                <c:pt idx="20">
                  <c:v>2.1</c:v>
                </c:pt>
                <c:pt idx="21">
                  <c:v>2.5</c:v>
                </c:pt>
                <c:pt idx="22">
                  <c:v>5.5</c:v>
                </c:pt>
                <c:pt idx="23">
                  <c:v>4.9000000000000004</c:v>
                </c:pt>
                <c:pt idx="24">
                  <c:v>15.1</c:v>
                </c:pt>
                <c:pt idx="25">
                  <c:v>6.4</c:v>
                </c:pt>
                <c:pt idx="26">
                  <c:v>6.4</c:v>
                </c:pt>
                <c:pt idx="27">
                  <c:v>6.8</c:v>
                </c:pt>
                <c:pt idx="28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17"/>
        <c:axId val="166359040"/>
        <c:axId val="166360576"/>
      </c:barChart>
      <c:catAx>
        <c:axId val="1663590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360576"/>
        <c:crosses val="autoZero"/>
        <c:auto val="1"/>
        <c:lblAlgn val="ctr"/>
        <c:lblOffset val="100"/>
        <c:noMultiLvlLbl val="0"/>
      </c:catAx>
      <c:valAx>
        <c:axId val="166360576"/>
        <c:scaling>
          <c:orientation val="minMax"/>
          <c:max val="3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359040"/>
        <c:crosses val="autoZero"/>
        <c:crossBetween val="between"/>
        <c:majorUnit val="50"/>
      </c:valAx>
      <c:spPr>
        <a:solidFill>
          <a:srgbClr val="A9FBFD"/>
        </a:solidFill>
      </c:spPr>
    </c:plotArea>
    <c:legend>
      <c:legendPos val="b"/>
      <c:layout>
        <c:manualLayout>
          <c:xMode val="edge"/>
          <c:yMode val="edge"/>
          <c:x val="0.31187391944820203"/>
          <c:y val="0.86731177197891574"/>
          <c:w val="0.3838959600716833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A9FBFD"/>
    </a:solidFill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PM2.5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190009493494164E-2"/>
          <c:y val="0.21656330889673359"/>
          <c:w val="0.86718964650695263"/>
          <c:h val="0.557530636256675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21</c:v>
                </c:pt>
                <c:pt idx="1">
                  <c:v>46</c:v>
                </c:pt>
                <c:pt idx="2">
                  <c:v>21</c:v>
                </c:pt>
                <c:pt idx="3">
                  <c:v>26</c:v>
                </c:pt>
                <c:pt idx="4">
                  <c:v>21</c:v>
                </c:pt>
                <c:pt idx="5">
                  <c:v>3</c:v>
                </c:pt>
                <c:pt idx="6">
                  <c:v>6</c:v>
                </c:pt>
                <c:pt idx="7">
                  <c:v>11</c:v>
                </c:pt>
                <c:pt idx="8">
                  <c:v>0</c:v>
                </c:pt>
                <c:pt idx="9">
                  <c:v>13</c:v>
                </c:pt>
                <c:pt idx="10">
                  <c:v>10</c:v>
                </c:pt>
                <c:pt idx="11">
                  <c:v>27</c:v>
                </c:pt>
                <c:pt idx="12">
                  <c:v>58</c:v>
                </c:pt>
                <c:pt idx="13">
                  <c:v>18</c:v>
                </c:pt>
                <c:pt idx="14">
                  <c:v>12</c:v>
                </c:pt>
                <c:pt idx="15">
                  <c:v>21</c:v>
                </c:pt>
                <c:pt idx="16">
                  <c:v>35</c:v>
                </c:pt>
                <c:pt idx="17">
                  <c:v>31</c:v>
                </c:pt>
                <c:pt idx="18">
                  <c:v>35</c:v>
                </c:pt>
                <c:pt idx="19">
                  <c:v>31</c:v>
                </c:pt>
                <c:pt idx="20">
                  <c:v>11</c:v>
                </c:pt>
                <c:pt idx="21">
                  <c:v>22</c:v>
                </c:pt>
                <c:pt idx="22">
                  <c:v>17</c:v>
                </c:pt>
                <c:pt idx="23">
                  <c:v>27</c:v>
                </c:pt>
                <c:pt idx="24">
                  <c:v>8</c:v>
                </c:pt>
                <c:pt idx="25">
                  <c:v>10</c:v>
                </c:pt>
                <c:pt idx="26">
                  <c:v>20</c:v>
                </c:pt>
                <c:pt idx="27">
                  <c:v>45</c:v>
                </c:pt>
                <c:pt idx="28">
                  <c:v>24</c:v>
                </c:pt>
                <c:pt idx="29">
                  <c:v>20</c:v>
                </c:pt>
                <c:pt idx="30">
                  <c:v>35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bs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Foglio1!$D$2:$D$32</c:f>
              <c:numCache>
                <c:formatCode>General</c:formatCode>
                <c:ptCount val="31"/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itc2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Foglio1!$E$2:$E$32</c:f>
              <c:numCache>
                <c:formatCode>General</c:formatCode>
                <c:ptCount val="3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8"/>
        <c:overlap val="100"/>
        <c:axId val="165236096"/>
        <c:axId val="165254272"/>
      </c:barChart>
      <c:catAx>
        <c:axId val="165236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254272"/>
        <c:crosses val="autoZero"/>
        <c:auto val="1"/>
        <c:lblAlgn val="ctr"/>
        <c:lblOffset val="100"/>
        <c:noMultiLvlLbl val="0"/>
      </c:catAx>
      <c:valAx>
        <c:axId val="165254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236096"/>
        <c:crosses val="autoZero"/>
        <c:crossBetween val="between"/>
      </c:valAx>
      <c:spPr>
        <a:solidFill>
          <a:srgbClr val="92D050"/>
        </a:solidFill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1.3675026041374987E-2"/>
          <c:y val="0.87233345831771014"/>
          <c:w val="0.87188569423132223"/>
          <c:h val="0.12492513565338029"/>
        </c:manualLayout>
      </c:layout>
      <c:overlay val="0"/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NO2 - Valore limite 200µg/m³  v.l.=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 baseline="0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21</c:v>
                </c:pt>
                <c:pt idx="1">
                  <c:v>29</c:v>
                </c:pt>
                <c:pt idx="2">
                  <c:v>13</c:v>
                </c:pt>
                <c:pt idx="3">
                  <c:v>18</c:v>
                </c:pt>
                <c:pt idx="4">
                  <c:v>11</c:v>
                </c:pt>
                <c:pt idx="5">
                  <c:v>46</c:v>
                </c:pt>
                <c:pt idx="6">
                  <c:v>7</c:v>
                </c:pt>
                <c:pt idx="7">
                  <c:v>9</c:v>
                </c:pt>
                <c:pt idx="8">
                  <c:v>16</c:v>
                </c:pt>
                <c:pt idx="9">
                  <c:v>20</c:v>
                </c:pt>
                <c:pt idx="10">
                  <c:v>14</c:v>
                </c:pt>
                <c:pt idx="11">
                  <c:v>33</c:v>
                </c:pt>
                <c:pt idx="12">
                  <c:v>32</c:v>
                </c:pt>
                <c:pt idx="13">
                  <c:v>12</c:v>
                </c:pt>
                <c:pt idx="14">
                  <c:v>8</c:v>
                </c:pt>
                <c:pt idx="15">
                  <c:v>25</c:v>
                </c:pt>
                <c:pt idx="16">
                  <c:v>28</c:v>
                </c:pt>
                <c:pt idx="17">
                  <c:v>26</c:v>
                </c:pt>
                <c:pt idx="18">
                  <c:v>28</c:v>
                </c:pt>
                <c:pt idx="19">
                  <c:v>20</c:v>
                </c:pt>
                <c:pt idx="20">
                  <c:v>17</c:v>
                </c:pt>
                <c:pt idx="21">
                  <c:v>18</c:v>
                </c:pt>
                <c:pt idx="22">
                  <c:v>26</c:v>
                </c:pt>
                <c:pt idx="23">
                  <c:v>22</c:v>
                </c:pt>
                <c:pt idx="24">
                  <c:v>28</c:v>
                </c:pt>
                <c:pt idx="25">
                  <c:v>0</c:v>
                </c:pt>
                <c:pt idx="26">
                  <c:v>30</c:v>
                </c:pt>
                <c:pt idx="27">
                  <c:v>23</c:v>
                </c:pt>
                <c:pt idx="28">
                  <c:v>27</c:v>
                </c:pt>
                <c:pt idx="29">
                  <c:v>29</c:v>
                </c:pt>
                <c:pt idx="30">
                  <c:v>23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85741265344666E-3"/>
                  <c:y val="0.10945273631840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8885741265344666E-3"/>
                  <c:y val="0.12437810945273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0.1144278606965173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4870662413657217E-7"/>
                  <c:y val="5.9701492537313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8.45771144278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5.9701492537313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8.4577114427860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4623459013312164E-17"/>
                  <c:y val="7.4626865671641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10447761194029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3.7771482530689331E-3"/>
                  <c:y val="0.149253731343283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0.10447761194029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8885741265344666E-3"/>
                  <c:y val="0.109452736318407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6.9246918026624328E-17"/>
                  <c:y val="8.9552238805970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0.11940298507462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6.9246918026624328E-17"/>
                  <c:y val="0.159203980099502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0"/>
                  <c:y val="9.4527363184079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9.950248756218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1.8885741265344666E-3"/>
                  <c:y val="0.114427860696517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8884254199103298E-3"/>
                  <c:y val="0.109452344576330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0.1144278606965174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8885741265344666E-3"/>
                  <c:y val="0.11940298507462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0"/>
                  <c:y val="0.10447761194029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8885741265344666E-3"/>
                  <c:y val="6.46762251733458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7.462686567164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8.45771144278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8.457711442786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0"/>
                  <c:y val="8.9552238805970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96019900497512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7.4626865671641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 baseline="0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55</c:v>
                </c:pt>
                <c:pt idx="1">
                  <c:v>56</c:v>
                </c:pt>
                <c:pt idx="2">
                  <c:v>43</c:v>
                </c:pt>
                <c:pt idx="3">
                  <c:v>41</c:v>
                </c:pt>
                <c:pt idx="4">
                  <c:v>48</c:v>
                </c:pt>
                <c:pt idx="5">
                  <c:v>18</c:v>
                </c:pt>
                <c:pt idx="6">
                  <c:v>30</c:v>
                </c:pt>
                <c:pt idx="7">
                  <c:v>50</c:v>
                </c:pt>
                <c:pt idx="8">
                  <c:v>0</c:v>
                </c:pt>
                <c:pt idx="9">
                  <c:v>0</c:v>
                </c:pt>
                <c:pt idx="10">
                  <c:v>46</c:v>
                </c:pt>
                <c:pt idx="11">
                  <c:v>71</c:v>
                </c:pt>
                <c:pt idx="12">
                  <c:v>77</c:v>
                </c:pt>
                <c:pt idx="13">
                  <c:v>50</c:v>
                </c:pt>
                <c:pt idx="14">
                  <c:v>40</c:v>
                </c:pt>
                <c:pt idx="15">
                  <c:v>71</c:v>
                </c:pt>
                <c:pt idx="16">
                  <c:v>65</c:v>
                </c:pt>
                <c:pt idx="17">
                  <c:v>74</c:v>
                </c:pt>
                <c:pt idx="18">
                  <c:v>61</c:v>
                </c:pt>
                <c:pt idx="19">
                  <c:v>49</c:v>
                </c:pt>
                <c:pt idx="20">
                  <c:v>65</c:v>
                </c:pt>
                <c:pt idx="21">
                  <c:v>46</c:v>
                </c:pt>
                <c:pt idx="22">
                  <c:v>51</c:v>
                </c:pt>
                <c:pt idx="23">
                  <c:v>51</c:v>
                </c:pt>
                <c:pt idx="24">
                  <c:v>10</c:v>
                </c:pt>
                <c:pt idx="25">
                  <c:v>31</c:v>
                </c:pt>
                <c:pt idx="26">
                  <c:v>73</c:v>
                </c:pt>
                <c:pt idx="27">
                  <c:v>75</c:v>
                </c:pt>
                <c:pt idx="28">
                  <c:v>41</c:v>
                </c:pt>
                <c:pt idx="29">
                  <c:v>67</c:v>
                </c:pt>
                <c:pt idx="30">
                  <c:v>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41"/>
        <c:axId val="165272960"/>
        <c:axId val="165360768"/>
      </c:barChart>
      <c:catAx>
        <c:axId val="16527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360768"/>
        <c:crosses val="autoZero"/>
        <c:auto val="1"/>
        <c:lblAlgn val="ctr"/>
        <c:lblOffset val="100"/>
        <c:noMultiLvlLbl val="0"/>
      </c:catAx>
      <c:valAx>
        <c:axId val="165360768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272960"/>
        <c:crosses val="autoZero"/>
        <c:crossBetween val="between"/>
        <c:majorUnit val="20"/>
      </c:valAx>
      <c:spPr>
        <a:solidFill>
          <a:schemeClr val="accent4">
            <a:lumMod val="20000"/>
            <a:lumOff val="80000"/>
          </a:schemeClr>
        </a:solidFill>
      </c:spPr>
    </c:plotArea>
    <c:legend>
      <c:legendPos val="b"/>
      <c:layout>
        <c:manualLayout>
          <c:xMode val="edge"/>
          <c:yMode val="edge"/>
          <c:x val="0.24121115728243794"/>
          <c:y val="0.87520938614016541"/>
          <c:w val="0.43412566316834872"/>
          <c:h val="8.996474321306853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O3 – Valore limite 180 µg/m³  v.l.= 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5.7306590257879654E-3"/>
                  <c:y val="5.51374499240226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71</c:v>
                </c:pt>
                <c:pt idx="1">
                  <c:v>71</c:v>
                </c:pt>
                <c:pt idx="2">
                  <c:v>67</c:v>
                </c:pt>
                <c:pt idx="3">
                  <c:v>66</c:v>
                </c:pt>
                <c:pt idx="4">
                  <c:v>71</c:v>
                </c:pt>
                <c:pt idx="5">
                  <c:v>75</c:v>
                </c:pt>
                <c:pt idx="6">
                  <c:v>64</c:v>
                </c:pt>
                <c:pt idx="7">
                  <c:v>63</c:v>
                </c:pt>
                <c:pt idx="8">
                  <c:v>60</c:v>
                </c:pt>
                <c:pt idx="9">
                  <c:v>59</c:v>
                </c:pt>
                <c:pt idx="10">
                  <c:v>56</c:v>
                </c:pt>
                <c:pt idx="11">
                  <c:v>69</c:v>
                </c:pt>
                <c:pt idx="12">
                  <c:v>81</c:v>
                </c:pt>
                <c:pt idx="13">
                  <c:v>65</c:v>
                </c:pt>
                <c:pt idx="14">
                  <c:v>67</c:v>
                </c:pt>
                <c:pt idx="15">
                  <c:v>65</c:v>
                </c:pt>
                <c:pt idx="16">
                  <c:v>55</c:v>
                </c:pt>
                <c:pt idx="17">
                  <c:v>23</c:v>
                </c:pt>
                <c:pt idx="18">
                  <c:v>73</c:v>
                </c:pt>
                <c:pt idx="19">
                  <c:v>77</c:v>
                </c:pt>
                <c:pt idx="20">
                  <c:v>71</c:v>
                </c:pt>
                <c:pt idx="21">
                  <c:v>77</c:v>
                </c:pt>
                <c:pt idx="22">
                  <c:v>69</c:v>
                </c:pt>
                <c:pt idx="23">
                  <c:v>70</c:v>
                </c:pt>
                <c:pt idx="24">
                  <c:v>64</c:v>
                </c:pt>
                <c:pt idx="25">
                  <c:v>0</c:v>
                </c:pt>
                <c:pt idx="26">
                  <c:v>71</c:v>
                </c:pt>
                <c:pt idx="27">
                  <c:v>72</c:v>
                </c:pt>
                <c:pt idx="28">
                  <c:v>75</c:v>
                </c:pt>
                <c:pt idx="29">
                  <c:v>70</c:v>
                </c:pt>
                <c:pt idx="30">
                  <c:v>81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5037593984962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10069264264603E-3"/>
                  <c:y val="0.1052627632072306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7308094367860178E-3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204393505253103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9102196752626551E-3"/>
                  <c:y val="0.105263157894736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1.9102196752626551E-3"/>
                  <c:y val="0.11528822055137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0.190476190476190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0.1503759398496240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3.8204393505253103E-3"/>
                  <c:y val="0.12531328320802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8204393505253103E-3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7.0040578978218872E-17"/>
                  <c:y val="0.145363013833797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5.7306590257880357E-3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20300751879699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303258145363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1.9102196752626551E-3"/>
                  <c:y val="0.115288220551378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0"/>
                  <c:y val="0.155388471177944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1.9102196752626551E-3"/>
                  <c:y val="0.1303258145363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1.9102196752626551E-3"/>
                  <c:y val="0.125313283208020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1.9102196752626551E-3"/>
                  <c:y val="0.1303258145363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0.11027568922305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-1.9102196752626551E-3"/>
                  <c:y val="9.5238095238095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-3.8204393505253103E-3"/>
                  <c:y val="0.100250626566416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9"/>
              <c:layout>
                <c:manualLayout>
                  <c:x val="0"/>
                  <c:y val="7.51879699248120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0"/>
              <c:layout>
                <c:manualLayout>
                  <c:x val="0"/>
                  <c:y val="0.135338345864661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68</c:v>
                </c:pt>
                <c:pt idx="1">
                  <c:v>84</c:v>
                </c:pt>
                <c:pt idx="2">
                  <c:v>63</c:v>
                </c:pt>
                <c:pt idx="3">
                  <c:v>67</c:v>
                </c:pt>
                <c:pt idx="4">
                  <c:v>70</c:v>
                </c:pt>
                <c:pt idx="5">
                  <c:v>77</c:v>
                </c:pt>
                <c:pt idx="6">
                  <c:v>66</c:v>
                </c:pt>
                <c:pt idx="7">
                  <c:v>63</c:v>
                </c:pt>
                <c:pt idx="8">
                  <c:v>0</c:v>
                </c:pt>
                <c:pt idx="9">
                  <c:v>0</c:v>
                </c:pt>
                <c:pt idx="10">
                  <c:v>57</c:v>
                </c:pt>
                <c:pt idx="11">
                  <c:v>62</c:v>
                </c:pt>
                <c:pt idx="12">
                  <c:v>84</c:v>
                </c:pt>
                <c:pt idx="13">
                  <c:v>65</c:v>
                </c:pt>
                <c:pt idx="14">
                  <c:v>66</c:v>
                </c:pt>
                <c:pt idx="15">
                  <c:v>63</c:v>
                </c:pt>
                <c:pt idx="16">
                  <c:v>53</c:v>
                </c:pt>
                <c:pt idx="17">
                  <c:v>62</c:v>
                </c:pt>
                <c:pt idx="18">
                  <c:v>71</c:v>
                </c:pt>
                <c:pt idx="19">
                  <c:v>75</c:v>
                </c:pt>
                <c:pt idx="20">
                  <c:v>70</c:v>
                </c:pt>
                <c:pt idx="21">
                  <c:v>82</c:v>
                </c:pt>
                <c:pt idx="22">
                  <c:v>70</c:v>
                </c:pt>
                <c:pt idx="23">
                  <c:v>70</c:v>
                </c:pt>
                <c:pt idx="24">
                  <c:v>64</c:v>
                </c:pt>
                <c:pt idx="25">
                  <c:v>72</c:v>
                </c:pt>
                <c:pt idx="26">
                  <c:v>70</c:v>
                </c:pt>
                <c:pt idx="27">
                  <c:v>56</c:v>
                </c:pt>
                <c:pt idx="28">
                  <c:v>68</c:v>
                </c:pt>
                <c:pt idx="29">
                  <c:v>59</c:v>
                </c:pt>
                <c:pt idx="30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165478400"/>
        <c:axId val="165479936"/>
      </c:barChart>
      <c:catAx>
        <c:axId val="165478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479936"/>
        <c:crosses val="autoZero"/>
        <c:auto val="1"/>
        <c:lblAlgn val="ctr"/>
        <c:lblOffset val="100"/>
        <c:noMultiLvlLbl val="0"/>
      </c:catAx>
      <c:valAx>
        <c:axId val="165479936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478400"/>
        <c:crosses val="autoZero"/>
        <c:crossBetween val="between"/>
        <c:majorUnit val="20"/>
      </c:valAx>
      <c:spPr>
        <a:solidFill>
          <a:srgbClr val="F79646">
            <a:lumMod val="60000"/>
            <a:lumOff val="40000"/>
          </a:srgbClr>
        </a:solidFill>
      </c:spPr>
    </c:plotArea>
    <c:legend>
      <c:legendPos val="b"/>
      <c:layout>
        <c:manualLayout>
          <c:xMode val="edge"/>
          <c:yMode val="edge"/>
          <c:x val="0.33098341686841987"/>
          <c:y val="0.87928011632569958"/>
          <c:w val="0.3189236688429426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CO – Valore limite 10 mg/m³  v.l.= </a:t>
            </a:r>
            <a:endParaRPr lang="it-IT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5.1435447359910957E-2"/>
          <c:y val="0.16922758057097964"/>
          <c:w val="0.93174885004461394"/>
          <c:h val="0.58467399521913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0.6</c:v>
                </c:pt>
                <c:pt idx="1">
                  <c:v>0.8</c:v>
                </c:pt>
                <c:pt idx="2">
                  <c:v>0.7</c:v>
                </c:pt>
                <c:pt idx="3">
                  <c:v>0.5</c:v>
                </c:pt>
                <c:pt idx="4">
                  <c:v>0.6</c:v>
                </c:pt>
                <c:pt idx="5">
                  <c:v>0.3</c:v>
                </c:pt>
                <c:pt idx="6">
                  <c:v>0.3</c:v>
                </c:pt>
                <c:pt idx="7">
                  <c:v>0.3</c:v>
                </c:pt>
                <c:pt idx="8">
                  <c:v>0</c:v>
                </c:pt>
                <c:pt idx="9">
                  <c:v>0</c:v>
                </c:pt>
                <c:pt idx="10">
                  <c:v>0.5</c:v>
                </c:pt>
                <c:pt idx="11">
                  <c:v>0.9</c:v>
                </c:pt>
                <c:pt idx="12">
                  <c:v>1</c:v>
                </c:pt>
                <c:pt idx="13">
                  <c:v>0.9</c:v>
                </c:pt>
                <c:pt idx="14">
                  <c:v>0.4</c:v>
                </c:pt>
                <c:pt idx="15">
                  <c:v>0.6</c:v>
                </c:pt>
                <c:pt idx="16">
                  <c:v>0.6</c:v>
                </c:pt>
                <c:pt idx="17">
                  <c:v>0.6</c:v>
                </c:pt>
                <c:pt idx="18">
                  <c:v>0.6</c:v>
                </c:pt>
                <c:pt idx="19">
                  <c:v>0.7</c:v>
                </c:pt>
                <c:pt idx="20">
                  <c:v>0.6</c:v>
                </c:pt>
                <c:pt idx="21">
                  <c:v>0.8</c:v>
                </c:pt>
                <c:pt idx="22">
                  <c:v>0.5</c:v>
                </c:pt>
                <c:pt idx="23">
                  <c:v>0.6</c:v>
                </c:pt>
                <c:pt idx="24">
                  <c:v>0.4</c:v>
                </c:pt>
                <c:pt idx="25">
                  <c:v>0.3</c:v>
                </c:pt>
                <c:pt idx="26">
                  <c:v>0.7</c:v>
                </c:pt>
                <c:pt idx="27">
                  <c:v>0.8</c:v>
                </c:pt>
                <c:pt idx="28">
                  <c:v>0.8</c:v>
                </c:pt>
                <c:pt idx="29">
                  <c:v>0.6</c:v>
                </c:pt>
                <c:pt idx="30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4"/>
        <c:overlap val="100"/>
        <c:axId val="165571968"/>
        <c:axId val="165573760"/>
      </c:barChart>
      <c:catAx>
        <c:axId val="165571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573760"/>
        <c:crosses val="autoZero"/>
        <c:auto val="1"/>
        <c:lblAlgn val="ctr"/>
        <c:lblOffset val="100"/>
        <c:noMultiLvlLbl val="0"/>
      </c:catAx>
      <c:valAx>
        <c:axId val="165573760"/>
        <c:scaling>
          <c:orientation val="minMax"/>
          <c:max val="1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571968"/>
        <c:crosses val="autoZero"/>
        <c:crossBetween val="between"/>
        <c:majorUnit val="1"/>
      </c:valAx>
      <c:spPr>
        <a:solidFill>
          <a:srgbClr val="FAFD6B"/>
        </a:solidFill>
      </c:spPr>
    </c:plotArea>
    <c:legend>
      <c:legendPos val="b"/>
      <c:layout>
        <c:manualLayout>
          <c:xMode val="edge"/>
          <c:yMode val="edge"/>
          <c:x val="0.10740229705187102"/>
          <c:y val="0.87928011632569958"/>
          <c:w val="0.78328445615423625"/>
          <c:h val="9.0643817276450364E-2"/>
        </c:manualLayout>
      </c:layout>
      <c:overlay val="0"/>
    </c:legend>
    <c:plotVisOnly val="1"/>
    <c:dispBlanksAs val="gap"/>
    <c:showDLblsOverMax val="0"/>
  </c:chart>
  <c:spPr>
    <a:solidFill>
      <a:srgbClr val="FAFD6B"/>
    </a:solidFill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SO2 – Valore limite 350 µg/m³  v.l.=  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Foglio1!$B$2:$B$32</c:f>
              <c:numCache>
                <c:formatCode>General</c:formatCode>
                <c:ptCount val="31"/>
                <c:pt idx="0">
                  <c:v>0</c:v>
                </c:pt>
                <c:pt idx="1">
                  <c:v>4.8</c:v>
                </c:pt>
                <c:pt idx="2">
                  <c:v>4.4000000000000004</c:v>
                </c:pt>
                <c:pt idx="3">
                  <c:v>6.6</c:v>
                </c:pt>
                <c:pt idx="4">
                  <c:v>6.1</c:v>
                </c:pt>
                <c:pt idx="5">
                  <c:v>12.5</c:v>
                </c:pt>
                <c:pt idx="6">
                  <c:v>4.4000000000000004</c:v>
                </c:pt>
                <c:pt idx="7">
                  <c:v>4.4000000000000004</c:v>
                </c:pt>
                <c:pt idx="8">
                  <c:v>4.2</c:v>
                </c:pt>
                <c:pt idx="9">
                  <c:v>4.5</c:v>
                </c:pt>
                <c:pt idx="10">
                  <c:v>1.1000000000000001</c:v>
                </c:pt>
                <c:pt idx="11">
                  <c:v>1</c:v>
                </c:pt>
                <c:pt idx="12">
                  <c:v>6.2</c:v>
                </c:pt>
                <c:pt idx="13">
                  <c:v>1.7</c:v>
                </c:pt>
                <c:pt idx="14">
                  <c:v>2</c:v>
                </c:pt>
                <c:pt idx="15">
                  <c:v>1.8</c:v>
                </c:pt>
                <c:pt idx="16">
                  <c:v>2</c:v>
                </c:pt>
                <c:pt idx="17">
                  <c:v>0.7</c:v>
                </c:pt>
                <c:pt idx="18">
                  <c:v>0.5</c:v>
                </c:pt>
                <c:pt idx="19">
                  <c:v>0.5</c:v>
                </c:pt>
                <c:pt idx="20">
                  <c:v>0.4</c:v>
                </c:pt>
                <c:pt idx="21">
                  <c:v>1.9</c:v>
                </c:pt>
                <c:pt idx="22">
                  <c:v>1.2</c:v>
                </c:pt>
                <c:pt idx="23">
                  <c:v>0.7</c:v>
                </c:pt>
                <c:pt idx="24">
                  <c:v>1</c:v>
                </c:pt>
                <c:pt idx="25">
                  <c:v>0</c:v>
                </c:pt>
                <c:pt idx="26">
                  <c:v>2.7</c:v>
                </c:pt>
                <c:pt idx="27">
                  <c:v>1.7</c:v>
                </c:pt>
                <c:pt idx="28">
                  <c:v>1.1000000000000001</c:v>
                </c:pt>
                <c:pt idx="29">
                  <c:v>0.6</c:v>
                </c:pt>
                <c:pt idx="30">
                  <c:v>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Foglio1!$C$2:$C$32</c:f>
              <c:numCache>
                <c:formatCode>General</c:formatCode>
                <c:ptCount val="31"/>
                <c:pt idx="0">
                  <c:v>5.4</c:v>
                </c:pt>
                <c:pt idx="1">
                  <c:v>3.3</c:v>
                </c:pt>
                <c:pt idx="2">
                  <c:v>2.4</c:v>
                </c:pt>
                <c:pt idx="3">
                  <c:v>3.1</c:v>
                </c:pt>
                <c:pt idx="4">
                  <c:v>4.5999999999999996</c:v>
                </c:pt>
                <c:pt idx="5">
                  <c:v>9</c:v>
                </c:pt>
                <c:pt idx="6">
                  <c:v>8.8000000000000007</c:v>
                </c:pt>
                <c:pt idx="7">
                  <c:v>3.8</c:v>
                </c:pt>
                <c:pt idx="8">
                  <c:v>0</c:v>
                </c:pt>
                <c:pt idx="9">
                  <c:v>0</c:v>
                </c:pt>
                <c:pt idx="10">
                  <c:v>4.9000000000000004</c:v>
                </c:pt>
                <c:pt idx="11">
                  <c:v>6.2</c:v>
                </c:pt>
                <c:pt idx="12">
                  <c:v>4.4000000000000004</c:v>
                </c:pt>
                <c:pt idx="13">
                  <c:v>3.7</c:v>
                </c:pt>
                <c:pt idx="14">
                  <c:v>4.5999999999999996</c:v>
                </c:pt>
                <c:pt idx="15">
                  <c:v>3.3</c:v>
                </c:pt>
                <c:pt idx="16">
                  <c:v>4.8</c:v>
                </c:pt>
                <c:pt idx="17">
                  <c:v>3.5</c:v>
                </c:pt>
                <c:pt idx="18">
                  <c:v>1.7</c:v>
                </c:pt>
                <c:pt idx="19">
                  <c:v>3.5</c:v>
                </c:pt>
                <c:pt idx="20">
                  <c:v>4.5</c:v>
                </c:pt>
                <c:pt idx="21">
                  <c:v>3.4</c:v>
                </c:pt>
                <c:pt idx="22">
                  <c:v>3.9</c:v>
                </c:pt>
                <c:pt idx="23">
                  <c:v>5.9</c:v>
                </c:pt>
                <c:pt idx="24">
                  <c:v>6.8</c:v>
                </c:pt>
                <c:pt idx="25">
                  <c:v>8</c:v>
                </c:pt>
                <c:pt idx="26">
                  <c:v>6.6</c:v>
                </c:pt>
                <c:pt idx="27">
                  <c:v>4.8</c:v>
                </c:pt>
                <c:pt idx="28">
                  <c:v>3.5</c:v>
                </c:pt>
                <c:pt idx="29">
                  <c:v>3.7</c:v>
                </c:pt>
                <c:pt idx="30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-30"/>
        <c:axId val="165603968"/>
        <c:axId val="165609856"/>
      </c:barChart>
      <c:catAx>
        <c:axId val="165603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609856"/>
        <c:crosses val="autoZero"/>
        <c:auto val="1"/>
        <c:lblAlgn val="ctr"/>
        <c:lblOffset val="100"/>
        <c:noMultiLvlLbl val="0"/>
      </c:catAx>
      <c:valAx>
        <c:axId val="165609856"/>
        <c:scaling>
          <c:orientation val="minMax"/>
          <c:max val="3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603968"/>
        <c:crosses val="autoZero"/>
        <c:crossBetween val="between"/>
        <c:majorUnit val="50"/>
      </c:valAx>
      <c:spPr>
        <a:solidFill>
          <a:srgbClr val="A9FBFD"/>
        </a:solidFill>
      </c:spPr>
    </c:plotArea>
    <c:legend>
      <c:legendPos val="b"/>
      <c:layout>
        <c:manualLayout>
          <c:xMode val="edge"/>
          <c:yMode val="edge"/>
          <c:x val="0.2736549246077663"/>
          <c:y val="0.86731177197891574"/>
          <c:w val="0.4374025528482932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A9FBFD"/>
    </a:solidFill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/>
              <a:t>PM10 – Valore limite - 50 µg/m³    v.l.=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Foglio1!$B$2:$B$30</c:f>
              <c:numCache>
                <c:formatCode>General</c:formatCode>
                <c:ptCount val="29"/>
                <c:pt idx="0">
                  <c:v>12</c:v>
                </c:pt>
                <c:pt idx="1">
                  <c:v>16</c:v>
                </c:pt>
                <c:pt idx="2">
                  <c:v>24</c:v>
                </c:pt>
                <c:pt idx="3">
                  <c:v>18</c:v>
                </c:pt>
                <c:pt idx="4">
                  <c:v>14</c:v>
                </c:pt>
                <c:pt idx="5">
                  <c:v>14</c:v>
                </c:pt>
                <c:pt idx="6">
                  <c:v>29</c:v>
                </c:pt>
                <c:pt idx="7">
                  <c:v>12</c:v>
                </c:pt>
                <c:pt idx="8">
                  <c:v>19</c:v>
                </c:pt>
                <c:pt idx="9">
                  <c:v>23</c:v>
                </c:pt>
                <c:pt idx="10">
                  <c:v>14</c:v>
                </c:pt>
                <c:pt idx="11">
                  <c:v>13</c:v>
                </c:pt>
                <c:pt idx="12">
                  <c:v>21</c:v>
                </c:pt>
                <c:pt idx="13">
                  <c:v>19</c:v>
                </c:pt>
                <c:pt idx="14">
                  <c:v>17</c:v>
                </c:pt>
                <c:pt idx="15">
                  <c:v>16</c:v>
                </c:pt>
                <c:pt idx="16">
                  <c:v>16</c:v>
                </c:pt>
                <c:pt idx="17">
                  <c:v>33</c:v>
                </c:pt>
                <c:pt idx="18">
                  <c:v>36</c:v>
                </c:pt>
                <c:pt idx="19">
                  <c:v>13</c:v>
                </c:pt>
                <c:pt idx="20">
                  <c:v>9</c:v>
                </c:pt>
                <c:pt idx="21">
                  <c:v>6</c:v>
                </c:pt>
                <c:pt idx="22">
                  <c:v>14</c:v>
                </c:pt>
                <c:pt idx="23">
                  <c:v>20</c:v>
                </c:pt>
                <c:pt idx="24">
                  <c:v>18</c:v>
                </c:pt>
                <c:pt idx="25">
                  <c:v>38</c:v>
                </c:pt>
                <c:pt idx="26">
                  <c:v>11</c:v>
                </c:pt>
                <c:pt idx="27">
                  <c:v>11</c:v>
                </c:pt>
                <c:pt idx="28">
                  <c:v>21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 centralina non presente per questa tipologia di inquinante</c:v>
                </c:pt>
              </c:strCache>
            </c:strRef>
          </c:tx>
          <c:invertIfNegative val="0"/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Foglio1!$C$2:$C$30</c:f>
              <c:numCache>
                <c:formatCode>General</c:formatCode>
                <c:ptCount val="2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8"/>
        <c:overlap val="100"/>
        <c:axId val="165648640"/>
        <c:axId val="165711872"/>
      </c:barChart>
      <c:catAx>
        <c:axId val="16564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711872"/>
        <c:crosses val="autoZero"/>
        <c:auto val="1"/>
        <c:lblAlgn val="ctr"/>
        <c:lblOffset val="100"/>
        <c:noMultiLvlLbl val="0"/>
      </c:catAx>
      <c:valAx>
        <c:axId val="165711872"/>
        <c:scaling>
          <c:orientation val="minMax"/>
          <c:max val="5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648640"/>
        <c:crosses val="autoZero"/>
        <c:crossBetween val="between"/>
        <c:majorUnit val="10"/>
      </c:valAx>
      <c:spPr>
        <a:solidFill>
          <a:srgbClr val="1F497D">
            <a:lumMod val="20000"/>
            <a:lumOff val="80000"/>
          </a:srgbClr>
        </a:solidFill>
      </c:spPr>
    </c:plotArea>
    <c:legend>
      <c:legendPos val="b"/>
      <c:layout>
        <c:manualLayout>
          <c:xMode val="edge"/>
          <c:yMode val="edge"/>
          <c:x val="4.6251905307173879E-2"/>
          <c:y val="0.86731177197891574"/>
          <c:w val="0.91131808886969567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PM2.5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 centralina non presente per questa tipologia di inquinante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Foglio1!$B$2:$B$30</c:f>
              <c:numCache>
                <c:formatCode>General</c:formatCode>
                <c:ptCount val="29"/>
                <c:pt idx="0">
                  <c:v>12</c:v>
                </c:pt>
                <c:pt idx="1">
                  <c:v>22</c:v>
                </c:pt>
                <c:pt idx="2">
                  <c:v>16</c:v>
                </c:pt>
                <c:pt idx="3">
                  <c:v>13</c:v>
                </c:pt>
                <c:pt idx="4">
                  <c:v>16</c:v>
                </c:pt>
                <c:pt idx="5">
                  <c:v>13</c:v>
                </c:pt>
                <c:pt idx="6">
                  <c:v>25</c:v>
                </c:pt>
                <c:pt idx="7">
                  <c:v>13</c:v>
                </c:pt>
                <c:pt idx="8">
                  <c:v>16</c:v>
                </c:pt>
                <c:pt idx="9">
                  <c:v>20</c:v>
                </c:pt>
                <c:pt idx="10">
                  <c:v>14</c:v>
                </c:pt>
                <c:pt idx="11">
                  <c:v>16</c:v>
                </c:pt>
                <c:pt idx="12">
                  <c:v>25</c:v>
                </c:pt>
                <c:pt idx="13">
                  <c:v>16</c:v>
                </c:pt>
                <c:pt idx="14">
                  <c:v>11</c:v>
                </c:pt>
                <c:pt idx="15">
                  <c:v>19</c:v>
                </c:pt>
                <c:pt idx="16">
                  <c:v>18</c:v>
                </c:pt>
                <c:pt idx="17">
                  <c:v>32</c:v>
                </c:pt>
                <c:pt idx="18">
                  <c:v>46</c:v>
                </c:pt>
                <c:pt idx="19">
                  <c:v>13</c:v>
                </c:pt>
                <c:pt idx="20">
                  <c:v>11</c:v>
                </c:pt>
                <c:pt idx="21">
                  <c:v>8</c:v>
                </c:pt>
                <c:pt idx="22">
                  <c:v>11</c:v>
                </c:pt>
                <c:pt idx="23">
                  <c:v>16</c:v>
                </c:pt>
                <c:pt idx="24">
                  <c:v>20</c:v>
                </c:pt>
                <c:pt idx="25">
                  <c:v>39</c:v>
                </c:pt>
                <c:pt idx="26">
                  <c:v>10</c:v>
                </c:pt>
                <c:pt idx="27">
                  <c:v>11</c:v>
                </c:pt>
                <c:pt idx="28">
                  <c:v>19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Foglio1!$C$2:$C$30</c:f>
              <c:numCache>
                <c:formatCode>General</c:formatCode>
                <c:ptCount val="29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65721984"/>
        <c:axId val="165723520"/>
      </c:barChart>
      <c:catAx>
        <c:axId val="16572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723520"/>
        <c:crosses val="autoZero"/>
        <c:auto val="1"/>
        <c:lblAlgn val="ctr"/>
        <c:lblOffset val="100"/>
        <c:noMultiLvlLbl val="0"/>
      </c:catAx>
      <c:valAx>
        <c:axId val="165723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721984"/>
        <c:crosses val="autoZero"/>
        <c:crossBetween val="between"/>
      </c:valAx>
      <c:spPr>
        <a:solidFill>
          <a:srgbClr val="92D050"/>
        </a:solidFill>
      </c:spPr>
    </c:plotArea>
    <c:legend>
      <c:legendPos val="b"/>
      <c:layout>
        <c:manualLayout>
          <c:xMode val="edge"/>
          <c:yMode val="edge"/>
          <c:x val="5.9628553501326384E-2"/>
          <c:y val="0.86731177197891574"/>
          <c:w val="0.89411954119149961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rgbClr val="92D050"/>
    </a:solidFill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200" b="1" i="0" u="none" strike="noStrike" baseline="0"/>
              <a:t>NO2 – Valore limite 200 µg/m³    v.l.=</a:t>
            </a:r>
            <a:endParaRPr lang="it-IT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S. BARBARA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 b="1"/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Foglio1!$B$2:$B$30</c:f>
              <c:numCache>
                <c:formatCode>General</c:formatCode>
                <c:ptCount val="29"/>
                <c:pt idx="0">
                  <c:v>19</c:v>
                </c:pt>
                <c:pt idx="1">
                  <c:v>25</c:v>
                </c:pt>
                <c:pt idx="2">
                  <c:v>6</c:v>
                </c:pt>
                <c:pt idx="3">
                  <c:v>12</c:v>
                </c:pt>
                <c:pt idx="4">
                  <c:v>7</c:v>
                </c:pt>
                <c:pt idx="5">
                  <c:v>9</c:v>
                </c:pt>
                <c:pt idx="6">
                  <c:v>9</c:v>
                </c:pt>
                <c:pt idx="7">
                  <c:v>12</c:v>
                </c:pt>
                <c:pt idx="8">
                  <c:v>12</c:v>
                </c:pt>
                <c:pt idx="9">
                  <c:v>22</c:v>
                </c:pt>
                <c:pt idx="10">
                  <c:v>11</c:v>
                </c:pt>
                <c:pt idx="11">
                  <c:v>9</c:v>
                </c:pt>
                <c:pt idx="12">
                  <c:v>12</c:v>
                </c:pt>
                <c:pt idx="13">
                  <c:v>15</c:v>
                </c:pt>
                <c:pt idx="14">
                  <c:v>16</c:v>
                </c:pt>
                <c:pt idx="15">
                  <c:v>10</c:v>
                </c:pt>
                <c:pt idx="16">
                  <c:v>8</c:v>
                </c:pt>
                <c:pt idx="17">
                  <c:v>38</c:v>
                </c:pt>
                <c:pt idx="18">
                  <c:v>34</c:v>
                </c:pt>
                <c:pt idx="19">
                  <c:v>16</c:v>
                </c:pt>
                <c:pt idx="20">
                  <c:v>18</c:v>
                </c:pt>
                <c:pt idx="21">
                  <c:v>18</c:v>
                </c:pt>
                <c:pt idx="22">
                  <c:v>0</c:v>
                </c:pt>
                <c:pt idx="23">
                  <c:v>11</c:v>
                </c:pt>
                <c:pt idx="24">
                  <c:v>29</c:v>
                </c:pt>
                <c:pt idx="25">
                  <c:v>30</c:v>
                </c:pt>
                <c:pt idx="26">
                  <c:v>6</c:v>
                </c:pt>
                <c:pt idx="27">
                  <c:v>8</c:v>
                </c:pt>
                <c:pt idx="28">
                  <c:v>10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I.T.C.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0.148760330578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7.1625344352617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5041099805217758E-7"/>
                  <c:y val="0.148759896748443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9102196752626551E-3"/>
                  <c:y val="0.10468319559228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020289489109436E-17"/>
                  <c:y val="0.13223140495867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5020289489109436E-17"/>
                  <c:y val="0.10468319559228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8204393505253103E-3"/>
                  <c:y val="0.165289256198347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9102196752626551E-3"/>
                  <c:y val="0.13774104683195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1.9102196752626551E-3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0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0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0.14325068870523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0"/>
                  <c:y val="9.366391184573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0"/>
                  <c:y val="8.26446280991735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1.9102196752625851E-3"/>
                  <c:y val="0.14876033057851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0"/>
                  <c:y val="0.110192837465564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0"/>
                  <c:y val="0.110192837465564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0"/>
                  <c:y val="0.13223140495867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1.9102196752626551E-3"/>
                  <c:y val="0.115702479338842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0"/>
                  <c:y val="8.8154269972451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0"/>
                  <c:y val="0.143250688705234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1.9102196752626551E-3"/>
                  <c:y val="0.214876033057851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0"/>
                  <c:y val="0.10468319559228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0"/>
                  <c:y val="8.81542699724517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7"/>
              <c:layout>
                <c:manualLayout>
                  <c:x val="0"/>
                  <c:y val="9.3663911845730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8"/>
              <c:layout>
                <c:manualLayout>
                  <c:x val="5.7306590257879654E-3"/>
                  <c:y val="9.9173553719008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 b="1">
                    <a:solidFill>
                      <a:srgbClr val="FFFF00"/>
                    </a:solidFill>
                  </a:defRPr>
                </a:pPr>
                <a:endParaRPr lang="it-IT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Foglio1!$A$2:$A$30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Foglio1!$C$2:$C$30</c:f>
              <c:numCache>
                <c:formatCode>General</c:formatCode>
                <c:ptCount val="29"/>
                <c:pt idx="0">
                  <c:v>38</c:v>
                </c:pt>
                <c:pt idx="1">
                  <c:v>52</c:v>
                </c:pt>
                <c:pt idx="2">
                  <c:v>12</c:v>
                </c:pt>
                <c:pt idx="3">
                  <c:v>49</c:v>
                </c:pt>
                <c:pt idx="4">
                  <c:v>32</c:v>
                </c:pt>
                <c:pt idx="5">
                  <c:v>38</c:v>
                </c:pt>
                <c:pt idx="6">
                  <c:v>44</c:v>
                </c:pt>
                <c:pt idx="7">
                  <c:v>46</c:v>
                </c:pt>
                <c:pt idx="8">
                  <c:v>52</c:v>
                </c:pt>
                <c:pt idx="9">
                  <c:v>56</c:v>
                </c:pt>
                <c:pt idx="10">
                  <c:v>55</c:v>
                </c:pt>
                <c:pt idx="11">
                  <c:v>41</c:v>
                </c:pt>
                <c:pt idx="12">
                  <c:v>72</c:v>
                </c:pt>
                <c:pt idx="13">
                  <c:v>58</c:v>
                </c:pt>
                <c:pt idx="14">
                  <c:v>49</c:v>
                </c:pt>
                <c:pt idx="15">
                  <c:v>37</c:v>
                </c:pt>
                <c:pt idx="16">
                  <c:v>51</c:v>
                </c:pt>
                <c:pt idx="17">
                  <c:v>66</c:v>
                </c:pt>
                <c:pt idx="18">
                  <c:v>45</c:v>
                </c:pt>
                <c:pt idx="19">
                  <c:v>48</c:v>
                </c:pt>
                <c:pt idx="20">
                  <c:v>40</c:v>
                </c:pt>
                <c:pt idx="21">
                  <c:v>34</c:v>
                </c:pt>
                <c:pt idx="22">
                  <c:v>51</c:v>
                </c:pt>
                <c:pt idx="23">
                  <c:v>40</c:v>
                </c:pt>
                <c:pt idx="24">
                  <c:v>75</c:v>
                </c:pt>
                <c:pt idx="25">
                  <c:v>48</c:v>
                </c:pt>
                <c:pt idx="26">
                  <c:v>26</c:v>
                </c:pt>
                <c:pt idx="27">
                  <c:v>31</c:v>
                </c:pt>
                <c:pt idx="28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165864576"/>
        <c:axId val="165866112"/>
      </c:barChart>
      <c:catAx>
        <c:axId val="165864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866112"/>
        <c:crosses val="autoZero"/>
        <c:auto val="1"/>
        <c:lblAlgn val="ctr"/>
        <c:lblOffset val="100"/>
        <c:noMultiLvlLbl val="0"/>
      </c:catAx>
      <c:valAx>
        <c:axId val="165866112"/>
        <c:scaling>
          <c:orientation val="minMax"/>
          <c:max val="2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864576"/>
        <c:crosses val="autoZero"/>
        <c:crossBetween val="between"/>
        <c:majorUnit val="20"/>
      </c:valAx>
      <c:spPr>
        <a:solidFill>
          <a:srgbClr val="8064A2">
            <a:lumMod val="20000"/>
            <a:lumOff val="80000"/>
          </a:srgbClr>
        </a:solidFill>
      </c:spPr>
    </c:plotArea>
    <c:legend>
      <c:legendPos val="b"/>
      <c:layout>
        <c:manualLayout>
          <c:xMode val="edge"/>
          <c:yMode val="edge"/>
          <c:x val="0.29085347228596242"/>
          <c:y val="0.86731177197891574"/>
          <c:w val="0.40300545749190103"/>
          <c:h val="9.9630376781414745E-2"/>
        </c:manualLayout>
      </c:layout>
      <c:overlay val="0"/>
    </c:legend>
    <c:plotVisOnly val="1"/>
    <c:dispBlanksAs val="gap"/>
    <c:showDLblsOverMax val="0"/>
  </c:chart>
  <c:spPr>
    <a:solidFill>
      <a:schemeClr val="accent4">
        <a:lumMod val="20000"/>
        <a:lumOff val="80000"/>
      </a:schemeClr>
    </a:solidFill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0.05263</cdr:x>
      <cdr:y>0.33198</cdr:y>
    </cdr:from>
    <cdr:to>
      <cdr:x>0.99004</cdr:x>
      <cdr:y>0.33603</cdr:y>
    </cdr:to>
    <cdr:cxnSp macro="">
      <cdr:nvCxnSpPr>
        <cdr:cNvPr id="14" name="Connettore 1 13"/>
        <cdr:cNvCxnSpPr/>
      </cdr:nvCxnSpPr>
      <cdr:spPr>
        <a:xfrm xmlns:a="http://schemas.openxmlformats.org/drawingml/2006/main" flipV="1">
          <a:off x="352425" y="781050"/>
          <a:ext cx="6276975" cy="9526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0.67425</cdr:x>
      <cdr:y>0.08097</cdr:y>
    </cdr:from>
    <cdr:to>
      <cdr:x>0.69701</cdr:x>
      <cdr:y>0.08097</cdr:y>
    </cdr:to>
    <cdr:cxnSp macro="">
      <cdr:nvCxnSpPr>
        <cdr:cNvPr id="6" name="Connettore 1 5"/>
        <cdr:cNvCxnSpPr/>
      </cdr:nvCxnSpPr>
      <cdr:spPr>
        <a:xfrm xmlns:a="http://schemas.openxmlformats.org/drawingml/2006/main">
          <a:off x="4514850" y="190500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0.04156</cdr:x>
      <cdr:y>0.19008</cdr:y>
    </cdr:from>
    <cdr:to>
      <cdr:x>1</cdr:x>
      <cdr:y>0.19421</cdr:y>
    </cdr:to>
    <cdr:cxnSp macro="">
      <cdr:nvCxnSpPr>
        <cdr:cNvPr id="2" name="Connettore 1 1"/>
        <cdr:cNvCxnSpPr/>
      </cdr:nvCxnSpPr>
      <cdr:spPr>
        <a:xfrm xmlns:a="http://schemas.openxmlformats.org/drawingml/2006/main" flipV="1">
          <a:off x="276225" y="438150"/>
          <a:ext cx="636968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0.68269</cdr:x>
      <cdr:y>0.08402</cdr:y>
    </cdr:from>
    <cdr:to>
      <cdr:x>0.71422</cdr:x>
      <cdr:y>0.08402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4537075" y="193675"/>
          <a:ext cx="209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0.03966</cdr:x>
      <cdr:y>0.17164</cdr:y>
    </cdr:from>
    <cdr:to>
      <cdr:x>0.99575</cdr:x>
      <cdr:y>0.17164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66700" y="438150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0.05949</cdr:x>
      <cdr:y>0.17164</cdr:y>
    </cdr:from>
    <cdr:to>
      <cdr:x>0.06374</cdr:x>
      <cdr:y>0.17537</cdr:y>
    </cdr:to>
    <cdr:cxnSp macro="">
      <cdr:nvCxnSpPr>
        <cdr:cNvPr id="6" name="Connettore 1 5"/>
        <cdr:cNvCxnSpPr/>
      </cdr:nvCxnSpPr>
      <cdr:spPr>
        <a:xfrm xmlns:a="http://schemas.openxmlformats.org/drawingml/2006/main" flipV="1">
          <a:off x="400050" y="438150"/>
          <a:ext cx="28575" cy="9525"/>
        </a:xfrm>
        <a:prstGeom xmlns:a="http://schemas.openxmlformats.org/drawingml/2006/main" prst="line">
          <a:avLst/>
        </a:prstGeom>
        <a:ln xmlns:a="http://schemas.openxmlformats.org/drawingml/2006/main" w="19050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0.67139</cdr:x>
      <cdr:y>0.07463</cdr:y>
    </cdr:from>
    <cdr:to>
      <cdr:x>0.69405</cdr:x>
      <cdr:y>0.07463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14850" y="190500"/>
          <a:ext cx="1524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0.03258</cdr:x>
      <cdr:y>0.22938</cdr:y>
    </cdr:from>
    <cdr:to>
      <cdr:x>1</cdr:x>
      <cdr:y>0.22938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19075" y="581025"/>
          <a:ext cx="64293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0.66501</cdr:x>
      <cdr:y>0.07521</cdr:y>
    </cdr:from>
    <cdr:to>
      <cdr:x>0.68651</cdr:x>
      <cdr:y>0.07521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19600" y="190500"/>
          <a:ext cx="14287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0.02723</cdr:x>
      <cdr:y>0.16546</cdr:y>
    </cdr:from>
    <cdr:to>
      <cdr:x>1</cdr:x>
      <cdr:y>0.16922</cdr:y>
    </cdr:to>
    <cdr:cxnSp macro="">
      <cdr:nvCxnSpPr>
        <cdr:cNvPr id="2" name="Connettore 1 1"/>
        <cdr:cNvCxnSpPr/>
      </cdr:nvCxnSpPr>
      <cdr:spPr>
        <a:xfrm xmlns:a="http://schemas.openxmlformats.org/drawingml/2006/main" flipV="1">
          <a:off x="183515" y="419100"/>
          <a:ext cx="6464935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0.66644</cdr:x>
      <cdr:y>0.07145</cdr:y>
    </cdr:from>
    <cdr:to>
      <cdr:x>0.68651</cdr:x>
      <cdr:y>0.07145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29125" y="180975"/>
          <a:ext cx="1333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0.04443</cdr:x>
      <cdr:y>0.19008</cdr:y>
    </cdr:from>
    <cdr:to>
      <cdr:x>0.99322</cdr:x>
      <cdr:y>0.19008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95275" y="438150"/>
          <a:ext cx="6305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0.67218</cdr:x>
      <cdr:y>0.08678</cdr:y>
    </cdr:from>
    <cdr:to>
      <cdr:x>0.69081</cdr:x>
      <cdr:y>0.08678</cdr:y>
    </cdr:to>
    <cdr:cxnSp macro="">
      <cdr:nvCxnSpPr>
        <cdr:cNvPr id="8" name="Connettore 1 7"/>
        <cdr:cNvCxnSpPr/>
      </cdr:nvCxnSpPr>
      <cdr:spPr>
        <a:xfrm xmlns:a="http://schemas.openxmlformats.org/drawingml/2006/main">
          <a:off x="4467225" y="200025"/>
          <a:ext cx="123825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0.02866</cdr:x>
      <cdr:y>0.19421</cdr:y>
    </cdr:from>
    <cdr:to>
      <cdr:x>0.98892</cdr:x>
      <cdr:y>0.19422</cdr:y>
    </cdr:to>
    <cdr:cxnSp macro="">
      <cdr:nvCxnSpPr>
        <cdr:cNvPr id="3" name="Connettore 1 2"/>
        <cdr:cNvCxnSpPr/>
      </cdr:nvCxnSpPr>
      <cdr:spPr>
        <a:xfrm xmlns:a="http://schemas.openxmlformats.org/drawingml/2006/main" flipV="1">
          <a:off x="190500" y="447675"/>
          <a:ext cx="6381750" cy="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2"/>
        </a:lnRef>
        <a:fillRef xmlns:a="http://schemas.openxmlformats.org/drawingml/2006/main" idx="0">
          <a:schemeClr val="accent2"/>
        </a:fillRef>
        <a:effectRef xmlns:a="http://schemas.openxmlformats.org/drawingml/2006/main" idx="0">
          <a:schemeClr val="accent2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0.68938</cdr:x>
      <cdr:y>0.08678</cdr:y>
    </cdr:from>
    <cdr:to>
      <cdr:x>0.72091</cdr:x>
      <cdr:y>0.08678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81525" y="200025"/>
          <a:ext cx="209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0.03401</cdr:x>
      <cdr:y>0.18595</cdr:y>
    </cdr:from>
    <cdr:to>
      <cdr:x>1</cdr:x>
      <cdr:y>0.19421</cdr:y>
    </cdr:to>
    <cdr:cxnSp macro="">
      <cdr:nvCxnSpPr>
        <cdr:cNvPr id="3" name="Connettore 1 2"/>
        <cdr:cNvCxnSpPr/>
      </cdr:nvCxnSpPr>
      <cdr:spPr>
        <a:xfrm xmlns:a="http://schemas.openxmlformats.org/drawingml/2006/main" flipV="1">
          <a:off x="304800" y="428625"/>
          <a:ext cx="6419850" cy="190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0.67982</cdr:x>
      <cdr:y>0.08402</cdr:y>
    </cdr:from>
    <cdr:to>
      <cdr:x>0.71135</cdr:x>
      <cdr:y>0.08402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518025" y="193675"/>
          <a:ext cx="209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0.03258</cdr:x>
      <cdr:y>0.19421</cdr:y>
    </cdr:from>
    <cdr:to>
      <cdr:x>0.99322</cdr:x>
      <cdr:y>0.19835</cdr:y>
    </cdr:to>
    <cdr:cxnSp macro="">
      <cdr:nvCxnSpPr>
        <cdr:cNvPr id="3" name="Connettore 1 2"/>
        <cdr:cNvCxnSpPr/>
      </cdr:nvCxnSpPr>
      <cdr:spPr>
        <a:xfrm xmlns:a="http://schemas.openxmlformats.org/drawingml/2006/main">
          <a:off x="216535" y="447675"/>
          <a:ext cx="6384290" cy="952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0.66692</cdr:x>
      <cdr:y>0.08402</cdr:y>
    </cdr:from>
    <cdr:to>
      <cdr:x>0.69845</cdr:x>
      <cdr:y>0.08402</cdr:y>
    </cdr:to>
    <cdr:cxnSp macro="">
      <cdr:nvCxnSpPr>
        <cdr:cNvPr id="4" name="Connettore 1 3"/>
        <cdr:cNvCxnSpPr/>
      </cdr:nvCxnSpPr>
      <cdr:spPr>
        <a:xfrm xmlns:a="http://schemas.openxmlformats.org/drawingml/2006/main">
          <a:off x="4432300" y="193675"/>
          <a:ext cx="209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0.66406</cdr:x>
      <cdr:y>0.08402</cdr:y>
    </cdr:from>
    <cdr:to>
      <cdr:x>0.69559</cdr:x>
      <cdr:y>0.08402</cdr:y>
    </cdr:to>
    <cdr:cxnSp macro="">
      <cdr:nvCxnSpPr>
        <cdr:cNvPr id="2" name="Connettore 1 1"/>
        <cdr:cNvCxnSpPr/>
      </cdr:nvCxnSpPr>
      <cdr:spPr>
        <a:xfrm xmlns:a="http://schemas.openxmlformats.org/drawingml/2006/main">
          <a:off x="4413250" y="193675"/>
          <a:ext cx="20955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5AE3F-E873-461C-B51F-C2BFD060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standard</cp:lastModifiedBy>
  <cp:revision>20</cp:revision>
  <dcterms:created xsi:type="dcterms:W3CDTF">2012-11-20T11:27:00Z</dcterms:created>
  <dcterms:modified xsi:type="dcterms:W3CDTF">2013-01-28T09:47:00Z</dcterms:modified>
</cp:coreProperties>
</file>